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100" w:beforeAutospacing="1" w:after="100" w:afterAutospacing="1"/>
        <w:rPr>
          <w:rFonts w:ascii="黑体" w:eastAsia="黑体"/>
          <w:sz w:val="32"/>
          <w:szCs w:val="32"/>
        </w:rPr>
      </w:pPr>
      <w:r>
        <w:rPr>
          <w:rFonts w:hint="eastAsia" w:ascii="黑体" w:eastAsia="黑体"/>
          <w:sz w:val="32"/>
          <w:szCs w:val="32"/>
        </w:rPr>
        <w:t>附件1</w:t>
      </w:r>
    </w:p>
    <w:p>
      <w:pPr>
        <w:shd w:val="clear" w:color="auto" w:fill="FFFFFF"/>
        <w:spacing w:before="100" w:beforeAutospacing="1" w:after="100" w:afterAutospacing="1"/>
        <w:rPr>
          <w:sz w:val="30"/>
          <w:szCs w:val="30"/>
        </w:rPr>
      </w:pPr>
    </w:p>
    <w:p>
      <w:pPr>
        <w:shd w:val="clear" w:color="auto" w:fill="FFFFFF"/>
        <w:spacing w:before="100" w:beforeAutospacing="1" w:after="100" w:afterAutospacing="1"/>
        <w:jc w:val="center"/>
        <w:rPr>
          <w:rFonts w:ascii="黑体" w:hAnsi="ˎ̥" w:eastAsia="黑体"/>
          <w:sz w:val="44"/>
          <w:szCs w:val="44"/>
        </w:rPr>
      </w:pPr>
      <w:r>
        <w:rPr>
          <w:rFonts w:hint="eastAsia" w:ascii="黑体" w:hAnsi="ˎ̥" w:eastAsia="黑体"/>
          <w:sz w:val="44"/>
          <w:szCs w:val="44"/>
        </w:rPr>
        <w:t>海南尖岭省级自然保护区管理站202</w:t>
      </w:r>
      <w:r>
        <w:rPr>
          <w:rFonts w:hint="eastAsia" w:ascii="黑体" w:hAnsi="ˎ̥" w:eastAsia="黑体"/>
          <w:sz w:val="44"/>
          <w:szCs w:val="44"/>
          <w:lang w:val="en-US" w:eastAsia="zh-CN"/>
        </w:rPr>
        <w:t>1</w:t>
      </w:r>
      <w:r>
        <w:rPr>
          <w:rFonts w:hint="eastAsia" w:ascii="黑体" w:hAnsi="ˎ̥" w:eastAsia="黑体"/>
          <w:sz w:val="44"/>
          <w:szCs w:val="44"/>
        </w:rPr>
        <w:t>年度部门决算</w:t>
      </w:r>
    </w:p>
    <w:p>
      <w:pPr>
        <w:shd w:val="clear" w:color="auto" w:fill="FFFFFF"/>
        <w:spacing w:before="100" w:beforeAutospacing="1" w:after="100" w:afterAutospacing="1"/>
        <w:jc w:val="center"/>
        <w:rPr>
          <w:rFonts w:ascii="黑体" w:hAnsi="ˎ̥" w:eastAsia="黑体"/>
          <w:b/>
          <w:sz w:val="32"/>
          <w:szCs w:val="32"/>
        </w:rPr>
      </w:pPr>
    </w:p>
    <w:p>
      <w:pPr>
        <w:shd w:val="clear" w:color="auto" w:fill="FFFFFF"/>
        <w:spacing w:before="100" w:beforeAutospacing="1" w:after="100" w:afterAutospacing="1"/>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7"/>
        <w:shd w:val="clear" w:color="auto" w:fill="FFFFFF"/>
        <w:tabs>
          <w:tab w:val="right" w:leader="dot" w:pos="8306"/>
        </w:tabs>
        <w:rPr>
          <w:sz w:val="32"/>
          <w:szCs w:val="32"/>
        </w:rPr>
      </w:pPr>
      <w:r>
        <w:rPr>
          <w:rFonts w:hint="eastAsia" w:ascii="黑体" w:hAnsi="ˎ̥" w:eastAsia="黑体"/>
          <w:sz w:val="32"/>
          <w:szCs w:val="32"/>
        </w:rPr>
        <w:t>第一部分  海南尖岭省级自然保护区管理站概况</w:t>
      </w:r>
      <w:r>
        <w:rPr>
          <w:sz w:val="32"/>
          <w:szCs w:val="32"/>
        </w:rPr>
        <w:tab/>
      </w:r>
      <w:r>
        <w:rPr>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sz w:val="32"/>
          <w:szCs w:val="32"/>
        </w:rPr>
      </w:pPr>
      <w:r>
        <w:rPr>
          <w:rFonts w:hint="eastAsia" w:ascii="黑体" w:hAnsi="ˎ̥" w:eastAsia="黑体"/>
          <w:sz w:val="32"/>
          <w:szCs w:val="32"/>
        </w:rPr>
        <w:t>第二部分海南尖岭省级自然保护区管理站决算公开表</w:t>
      </w:r>
      <w:r>
        <w:rPr>
          <w:sz w:val="32"/>
          <w:szCs w:val="32"/>
        </w:rPr>
        <w:tab/>
      </w:r>
      <w:r>
        <w:rPr>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一、收入支出决算公开表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二、收入决算公开表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三、支出决算公开表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四、财政拨款收入支出决算公开表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五、一般公共预算财政拨款收入支出决算公开表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六、一般公共预算财政拨款基本支出决算公开表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七、政府性基金预算财政拨款收入支出决算公开表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八、国有资本经营预算财政拨款收入支出决算公开表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九、一般公共预算财政拨款“三公”经费支出决算公开表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十、政府性基金预算财政拨款“三公”经费支出决算公开表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十一、国有资本经营预算财政拨款“三公”经费支出决算公开表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sz w:val="32"/>
          <w:szCs w:val="32"/>
        </w:rPr>
      </w:pPr>
      <w:r>
        <w:rPr>
          <w:rFonts w:hint="eastAsia" w:ascii="黑体" w:hAnsi="黑体" w:eastAsia="黑体" w:cs="黑体"/>
          <w:sz w:val="32"/>
          <w:szCs w:val="32"/>
        </w:rPr>
        <w:t>第三部分</w:t>
      </w:r>
      <w:r>
        <w:rPr>
          <w:sz w:val="32"/>
          <w:szCs w:val="32"/>
        </w:rPr>
        <w:t xml:space="preserve">  </w:t>
      </w:r>
      <w:r>
        <w:rPr>
          <w:rFonts w:hint="eastAsia" w:ascii="黑体" w:hAnsi="ˎ̥" w:eastAsia="黑体"/>
          <w:sz w:val="32"/>
          <w:szCs w:val="32"/>
        </w:rPr>
        <w:t>海南尖岭省级自然保护区管理站决算情况说明</w:t>
      </w:r>
      <w:r>
        <w:rPr>
          <w:sz w:val="32"/>
          <w:szCs w:val="32"/>
        </w:rPr>
        <w:tab/>
      </w:r>
      <w:r>
        <w:rPr>
          <w:sz w:val="32"/>
          <w:szCs w:val="32"/>
        </w:rPr>
        <w:t>4</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4</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6</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t>7</w:t>
      </w:r>
    </w:p>
    <w:p>
      <w:pPr>
        <w:pStyle w:val="9"/>
        <w:numPr>
          <w:ilvl w:val="0"/>
          <w:numId w:val="1"/>
        </w:numPr>
        <w:shd w:val="clear" w:color="auto" w:fill="FFFFFF"/>
        <w:tabs>
          <w:tab w:val="right" w:leader="dot" w:pos="8306"/>
          <w:tab w:val="clear" w:pos="720"/>
        </w:tabs>
        <w:ind w:left="0" w:firstLine="0"/>
        <w:rPr>
          <w:rFonts w:ascii="仿宋" w:hAnsi="仿宋" w:eastAsia="仿宋" w:cs="仿宋"/>
          <w:sz w:val="32"/>
          <w:szCs w:val="32"/>
        </w:rPr>
      </w:pPr>
      <w:r>
        <w:rPr>
          <w:rFonts w:hint="eastAsia" w:ascii="仿宋" w:hAnsi="仿宋" w:eastAsia="仿宋" w:cs="仿宋"/>
          <w:bCs/>
          <w:sz w:val="32"/>
          <w:szCs w:val="32"/>
        </w:rPr>
        <w:t>政府性基金预算财政拨款收入支出决算情况说明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pStyle w:val="9"/>
        <w:numPr>
          <w:ilvl w:val="0"/>
          <w:numId w:val="1"/>
        </w:numPr>
        <w:shd w:val="clear" w:color="auto" w:fill="FFFFFF"/>
        <w:tabs>
          <w:tab w:val="right" w:leader="dot" w:pos="8306"/>
          <w:tab w:val="clear" w:pos="720"/>
        </w:tabs>
        <w:ind w:left="0" w:firstLine="0"/>
        <w:rPr>
          <w:rFonts w:ascii="仿宋" w:hAnsi="仿宋" w:eastAsia="仿宋" w:cs="仿宋"/>
          <w:sz w:val="32"/>
          <w:szCs w:val="32"/>
        </w:rPr>
      </w:pPr>
      <w:r>
        <w:rPr>
          <w:rFonts w:hint="eastAsia" w:ascii="仿宋" w:hAnsi="仿宋" w:eastAsia="仿宋" w:cs="仿宋"/>
          <w:bCs/>
          <w:sz w:val="32"/>
          <w:szCs w:val="32"/>
        </w:rPr>
        <w:t>国有资本经营预算财政拨款收入支出决算情况说明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shd w:val="clear" w:color="auto" w:fill="FFFFFF"/>
        <w:spacing w:before="100" w:beforeAutospacing="1" w:after="100" w:afterAutospacing="1"/>
        <w:rPr>
          <w:rFonts w:ascii="仿宋" w:hAnsi="仿宋" w:eastAsia="仿宋" w:cs="仿宋"/>
          <w:sz w:val="32"/>
          <w:szCs w:val="32"/>
        </w:rPr>
      </w:pPr>
      <w:r>
        <w:rPr>
          <w:rFonts w:hint="eastAsia" w:ascii="仿宋" w:hAnsi="仿宋" w:eastAsia="仿宋" w:cs="仿宋"/>
          <w:bCs/>
          <w:sz w:val="32"/>
          <w:szCs w:val="32"/>
        </w:rPr>
        <w:t>九、一般公共预算财政拨款“三公”经费支出决算情况说明</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8</w:t>
      </w:r>
    </w:p>
    <w:p>
      <w:pPr>
        <w:shd w:val="clear" w:color="auto" w:fill="FFFFFF"/>
        <w:spacing w:before="100" w:beforeAutospacing="1" w:after="100" w:afterAutospacing="1"/>
        <w:rPr>
          <w:rFonts w:ascii="仿宋" w:hAnsi="仿宋" w:eastAsia="仿宋" w:cs="仿宋"/>
          <w:sz w:val="32"/>
          <w:szCs w:val="32"/>
        </w:rPr>
      </w:pPr>
      <w:r>
        <w:rPr>
          <w:rFonts w:hint="eastAsia" w:ascii="仿宋" w:hAnsi="仿宋" w:eastAsia="仿宋" w:cs="仿宋"/>
          <w:bCs/>
          <w:sz w:val="32"/>
          <w:szCs w:val="32"/>
        </w:rPr>
        <w:t>十、政府性基金预算财政拨款“三公”经费支出决算情况说明</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10</w:t>
      </w:r>
    </w:p>
    <w:p>
      <w:pPr>
        <w:shd w:val="clear" w:color="auto" w:fill="FFFFFF"/>
        <w:spacing w:before="100" w:beforeAutospacing="1" w:after="100" w:afterAutospacing="1"/>
        <w:rPr>
          <w:rFonts w:ascii="仿宋" w:hAnsi="仿宋" w:eastAsia="仿宋" w:cs="仿宋"/>
          <w:sz w:val="32"/>
          <w:szCs w:val="32"/>
        </w:rPr>
      </w:pPr>
      <w:r>
        <w:rPr>
          <w:rFonts w:hint="eastAsia" w:ascii="仿宋" w:hAnsi="仿宋" w:eastAsia="仿宋" w:cs="仿宋"/>
          <w:bCs/>
          <w:sz w:val="32"/>
          <w:szCs w:val="32"/>
        </w:rPr>
        <w:t>十一、国有资本经营预算财政拨款“三公”经费支出决算情况说明</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10</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十二、预算绩效情况说明</w:t>
      </w:r>
      <w:r>
        <w:rPr>
          <w:rFonts w:hint="eastAsia" w:ascii="仿宋" w:hAnsi="仿宋" w:eastAsia="仿宋" w:cs="仿宋"/>
          <w:sz w:val="32"/>
          <w:szCs w:val="32"/>
        </w:rPr>
        <w:tab/>
      </w:r>
      <w:r>
        <w:rPr>
          <w:rFonts w:hint="eastAsia" w:ascii="仿宋" w:hAnsi="仿宋" w:eastAsia="仿宋" w:cs="仿宋"/>
          <w:sz w:val="32"/>
          <w:szCs w:val="32"/>
        </w:rPr>
        <w:t>11</w:t>
      </w:r>
    </w:p>
    <w:p>
      <w:pPr>
        <w:pStyle w:val="9"/>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十三、其他重要事项情况说明</w:t>
      </w:r>
      <w:r>
        <w:rPr>
          <w:rFonts w:hint="eastAsia" w:ascii="仿宋" w:hAnsi="仿宋" w:eastAsia="仿宋" w:cs="仿宋"/>
          <w:sz w:val="32"/>
          <w:szCs w:val="32"/>
        </w:rPr>
        <w:tab/>
      </w:r>
      <w:r>
        <w:rPr>
          <w:rFonts w:hint="eastAsia" w:ascii="仿宋" w:hAnsi="仿宋" w:eastAsia="仿宋" w:cs="仿宋"/>
          <w:sz w:val="32"/>
          <w:szCs w:val="32"/>
        </w:rPr>
        <w:t>11</w:t>
      </w:r>
    </w:p>
    <w:p>
      <w:pPr>
        <w:pStyle w:val="7"/>
        <w:shd w:val="clear" w:color="auto" w:fill="FFFFFF"/>
        <w:tabs>
          <w:tab w:val="right" w:leader="dot" w:pos="8306"/>
        </w:tabs>
        <w:rPr>
          <w:sz w:val="32"/>
          <w:szCs w:val="32"/>
        </w:rPr>
      </w:pP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0"/>
      <w:bookmarkEnd w:id="1"/>
      <w:r>
        <w:rPr>
          <w:sz w:val="32"/>
          <w:szCs w:val="32"/>
        </w:rPr>
        <w:t>3</w:t>
      </w:r>
    </w:p>
    <w:p>
      <w:pPr>
        <w:shd w:val="clear" w:color="auto" w:fill="FFFFFF"/>
        <w:spacing w:before="100" w:beforeAutospacing="1" w:after="100" w:afterAutospacing="1"/>
        <w:rPr>
          <w:rFonts w:ascii="黑体" w:hAnsi="黑体" w:eastAsia="黑体" w:cs="黑体"/>
          <w:sz w:val="32"/>
          <w:szCs w:val="32"/>
        </w:rPr>
      </w:pPr>
    </w:p>
    <w:p>
      <w:pPr>
        <w:shd w:val="clear" w:color="auto" w:fill="FFFFFF"/>
        <w:spacing w:before="100" w:beforeAutospacing="1" w:after="100" w:afterAutospacing="1"/>
        <w:jc w:val="center"/>
        <w:rPr>
          <w:rFonts w:ascii="黑体" w:hAnsi="ˎ̥" w:eastAsia="黑体"/>
          <w:b/>
          <w:sz w:val="32"/>
          <w:szCs w:val="32"/>
        </w:rPr>
      </w:pPr>
    </w:p>
    <w:p>
      <w:pPr>
        <w:shd w:val="clear" w:color="auto" w:fill="FFFFFF"/>
        <w:spacing w:before="100" w:beforeAutospacing="1" w:after="100" w:afterAutospacing="1"/>
        <w:jc w:val="center"/>
        <w:rPr>
          <w:rFonts w:ascii="黑体" w:hAnsi="ˎ̥" w:eastAsia="黑体"/>
          <w:sz w:val="32"/>
          <w:szCs w:val="32"/>
        </w:rPr>
      </w:pPr>
      <w:bookmarkStart w:id="2" w:name="_Toc1704_WPSOffice_Level1"/>
      <w:bookmarkStart w:id="3" w:name="_Toc32433_WPSOffice_Level1"/>
      <w:bookmarkStart w:id="4" w:name="_Toc10049_WPSOffice_Level1"/>
      <w:bookmarkStart w:id="5" w:name="_Toc10720_WPSOffice_Level1"/>
      <w:bookmarkStart w:id="6" w:name="_Toc22941_WPSOffice_Level1"/>
      <w:bookmarkStart w:id="7" w:name="_Toc23465_WPSOffice_Level1"/>
      <w:bookmarkStart w:id="8" w:name="_Toc24238_WPSOffice_Level2"/>
      <w:bookmarkStart w:id="9" w:name="_Toc26580_WPSOffice_Level2"/>
      <w:bookmarkStart w:id="10" w:name="_Toc20205_WPSOffice_Level2"/>
      <w:bookmarkStart w:id="11" w:name="_Toc20274_WPSOffice_Level2"/>
      <w:bookmarkStart w:id="12" w:name="_Toc14159_WPSOffice_Level2"/>
      <w:bookmarkStart w:id="13" w:name="_Toc32622_WPSOffice_Level2"/>
      <w:r>
        <w:rPr>
          <w:rFonts w:hint="eastAsia" w:ascii="黑体" w:hAnsi="ˎ̥" w:eastAsia="黑体"/>
          <w:sz w:val="32"/>
          <w:szCs w:val="32"/>
        </w:rPr>
        <w:t>第一部分  海南尖岭省级自然保护区管理站概况</w:t>
      </w:r>
      <w:bookmarkEnd w:id="2"/>
      <w:bookmarkEnd w:id="3"/>
      <w:bookmarkEnd w:id="4"/>
      <w:bookmarkEnd w:id="5"/>
      <w:bookmarkEnd w:id="6"/>
      <w:bookmarkEnd w:id="7"/>
    </w:p>
    <w:p>
      <w:pPr>
        <w:shd w:val="clear" w:color="auto" w:fill="FFFFFF"/>
        <w:spacing w:before="100" w:beforeAutospacing="1" w:after="100" w:afterAutospacing="1"/>
        <w:ind w:firstLine="640" w:firstLineChars="200"/>
        <w:rPr>
          <w:rFonts w:ascii="楷体" w:hAnsi="楷体" w:eastAsia="楷体" w:cs="楷体"/>
          <w:sz w:val="32"/>
          <w:szCs w:val="32"/>
        </w:rPr>
      </w:pPr>
    </w:p>
    <w:p>
      <w:pPr>
        <w:shd w:val="clear" w:color="auto" w:fill="FFFFFF"/>
        <w:spacing w:before="100" w:beforeAutospacing="1" w:after="100" w:afterAutospacing="1"/>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ˎ̥" w:eastAsia="黑体"/>
          <w:sz w:val="32"/>
          <w:szCs w:val="32"/>
        </w:rPr>
        <w:t>海南尖岭省级自然保护区管理站</w:t>
      </w:r>
      <w:r>
        <w:rPr>
          <w:rFonts w:hint="eastAsia" w:ascii="黑体" w:hAnsi="黑体" w:eastAsia="黑体" w:cs="黑体"/>
          <w:sz w:val="32"/>
          <w:szCs w:val="32"/>
        </w:rPr>
        <w:t>职责</w:t>
      </w:r>
      <w:bookmarkEnd w:id="9"/>
      <w:bookmarkEnd w:id="10"/>
      <w:bookmarkEnd w:id="11"/>
      <w:bookmarkEnd w:id="12"/>
      <w:bookmarkEnd w:id="13"/>
    </w:p>
    <w:p>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㈠负责保护区森林资源的保护和建设管理工作。</w:t>
      </w:r>
    </w:p>
    <w:p>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㈡负责保护区森林资源科研监测工作。</w:t>
      </w:r>
    </w:p>
    <w:p>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㈢负责保护区生态环境宣传教育工作。</w:t>
      </w:r>
    </w:p>
    <w:p>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㈣负责协调社区开展森林资源共管工作。</w:t>
      </w:r>
    </w:p>
    <w:p>
      <w:pPr>
        <w:spacing w:before="100" w:beforeAutospacing="1" w:after="100" w:afterAutospacing="1"/>
        <w:ind w:firstLine="600" w:firstLineChars="200"/>
        <w:rPr>
          <w:rFonts w:ascii="黑体" w:hAnsi="黑体" w:eastAsia="黑体" w:cs="黑体"/>
          <w:sz w:val="32"/>
          <w:szCs w:val="32"/>
        </w:rPr>
      </w:pPr>
      <w:r>
        <w:rPr>
          <w:rFonts w:hint="eastAsia" w:ascii="仿宋" w:hAnsi="仿宋" w:eastAsia="仿宋"/>
          <w:color w:val="333333"/>
          <w:sz w:val="30"/>
          <w:szCs w:val="30"/>
        </w:rPr>
        <w:t>㈤承办上级主管部门交办的其他工作。</w:t>
      </w:r>
    </w:p>
    <w:p>
      <w:pPr>
        <w:shd w:val="clear" w:color="auto" w:fill="FFFFFF"/>
        <w:spacing w:before="100" w:beforeAutospacing="1" w:after="100" w:afterAutospacing="1"/>
        <w:ind w:firstLine="640" w:firstLineChars="200"/>
        <w:rPr>
          <w:rFonts w:ascii="黑体" w:hAnsi="黑体" w:eastAsia="黑体" w:cs="黑体"/>
          <w:sz w:val="32"/>
          <w:szCs w:val="32"/>
        </w:rPr>
      </w:pPr>
    </w:p>
    <w:p>
      <w:pPr>
        <w:shd w:val="clear" w:color="auto" w:fill="FFFFFF"/>
        <w:spacing w:before="100" w:beforeAutospacing="1" w:after="100" w:afterAutospacing="1"/>
        <w:ind w:firstLine="640" w:firstLineChars="200"/>
        <w:rPr>
          <w:rFonts w:ascii="黑体" w:hAnsi="黑体" w:eastAsia="黑体" w:cs="黑体"/>
          <w:sz w:val="32"/>
          <w:szCs w:val="32"/>
        </w:rPr>
      </w:pPr>
      <w:bookmarkStart w:id="14" w:name="_Toc24474_WPSOffice_Level2"/>
      <w:bookmarkStart w:id="15" w:name="_Toc17796_WPSOffice_Level2"/>
      <w:bookmarkStart w:id="16" w:name="_Toc24059_WPSOffice_Level2"/>
      <w:bookmarkStart w:id="17" w:name="_Toc6572_WPSOffice_Level2"/>
      <w:bookmarkStart w:id="18" w:name="_Toc4833_WPSOffice_Level2"/>
      <w:r>
        <w:rPr>
          <w:rFonts w:hint="eastAsia" w:ascii="黑体" w:hAnsi="黑体" w:eastAsia="黑体" w:cs="黑体"/>
          <w:sz w:val="32"/>
          <w:szCs w:val="32"/>
        </w:rPr>
        <w:t>二、机构设置</w:t>
      </w:r>
      <w:bookmarkEnd w:id="14"/>
      <w:bookmarkEnd w:id="15"/>
      <w:bookmarkEnd w:id="16"/>
      <w:bookmarkEnd w:id="17"/>
      <w:bookmarkEnd w:id="18"/>
    </w:p>
    <w:p>
      <w:pPr>
        <w:pStyle w:val="4"/>
        <w:shd w:val="clear" w:color="auto" w:fill="FFFFFF"/>
        <w:ind w:firstLine="640" w:firstLineChars="200"/>
        <w:rPr>
          <w:rFonts w:hint="eastAsia" w:ascii="仿宋" w:hAnsi="仿宋" w:eastAsia="仿宋" w:cs="仿宋"/>
          <w:color w:val="000000"/>
          <w:kern w:val="0"/>
          <w:sz w:val="30"/>
          <w:szCs w:val="30"/>
        </w:rPr>
      </w:pPr>
      <w:bookmarkStart w:id="19" w:name="_Toc30690_WPSOffice_Level1"/>
      <w:bookmarkStart w:id="20" w:name="_Toc6234_WPSOffice_Level1"/>
      <w:bookmarkStart w:id="21" w:name="_Toc28253_WPSOffice_Level1"/>
      <w:bookmarkStart w:id="22" w:name="_Toc30451_WPSOffice_Level1"/>
      <w:bookmarkStart w:id="23" w:name="_Toc8164_WPSOffice_Level1"/>
      <w:bookmarkStart w:id="24" w:name="_Toc15521_WPSOffice_Level1"/>
      <w:bookmarkStart w:id="25" w:name="_Toc6211_WPSOffice_Level2"/>
      <w:bookmarkStart w:id="26" w:name="_Toc32695_WPSOffice_Level2"/>
      <w:bookmarkStart w:id="27" w:name="_Toc8867_WPSOffice_Level2"/>
      <w:bookmarkStart w:id="28" w:name="_Toc11518_WPSOffice_Level2"/>
      <w:bookmarkStart w:id="29" w:name="_Toc4029_WPSOffice_Level2"/>
      <w:bookmarkStart w:id="30" w:name="_Toc32472_WPSOffice_Level2"/>
      <w:r>
        <w:rPr>
          <w:rFonts w:hint="eastAsia" w:ascii="仿宋_GB2312" w:hAnsi="微软雅黑" w:eastAsia="仿宋_GB2312"/>
          <w:color w:val="333333"/>
          <w:sz w:val="32"/>
          <w:szCs w:val="32"/>
        </w:rPr>
        <w:t>海南尖岭省级自然保护区管理站</w:t>
      </w:r>
      <w:r>
        <w:rPr>
          <w:rFonts w:hint="eastAsia" w:ascii="仿宋_GB2312" w:hAnsi="微软雅黑" w:eastAsia="仿宋_GB2312"/>
          <w:sz w:val="32"/>
          <w:szCs w:val="32"/>
        </w:rPr>
        <w:t>纳入海南省林业局（部门）202</w:t>
      </w:r>
      <w:r>
        <w:rPr>
          <w:rFonts w:hint="eastAsia" w:ascii="仿宋_GB2312" w:hAnsi="微软雅黑" w:eastAsia="仿宋_GB2312"/>
          <w:sz w:val="32"/>
          <w:szCs w:val="32"/>
          <w:lang w:val="en-US" w:eastAsia="zh-CN"/>
        </w:rPr>
        <w:t>1</w:t>
      </w:r>
      <w:r>
        <w:rPr>
          <w:rFonts w:hint="eastAsia" w:ascii="仿宋_GB2312" w:hAnsi="微软雅黑" w:eastAsia="仿宋_GB2312"/>
          <w:sz w:val="32"/>
          <w:szCs w:val="32"/>
        </w:rPr>
        <w:t>年部门决算编制范围的二级单位。</w:t>
      </w:r>
      <w:r>
        <w:rPr>
          <w:rFonts w:hint="eastAsia" w:ascii="仿宋" w:hAnsi="仿宋" w:eastAsia="仿宋" w:cs="仿宋"/>
          <w:sz w:val="30"/>
          <w:szCs w:val="30"/>
          <w:lang w:val="en" w:eastAsia="zh-CN"/>
        </w:rPr>
        <w:t>省编办暂时未批复本单位内部设置机构。但根据实际业务管理需要设置了站办公室、公益林生态办公室。单位编制人数</w:t>
      </w:r>
      <w:r>
        <w:rPr>
          <w:rFonts w:hint="eastAsia" w:ascii="仿宋" w:hAnsi="仿宋" w:eastAsia="仿宋" w:cs="仿宋"/>
          <w:sz w:val="30"/>
          <w:szCs w:val="30"/>
          <w:lang w:val="en-US" w:eastAsia="zh-CN"/>
        </w:rPr>
        <w:t>9名。2021年，</w:t>
      </w:r>
      <w:r>
        <w:rPr>
          <w:rFonts w:hint="eastAsia" w:ascii="仿宋" w:hAnsi="仿宋" w:eastAsia="仿宋" w:cs="黑体"/>
          <w:color w:val="333333"/>
          <w:sz w:val="31"/>
          <w:szCs w:val="31"/>
          <w:shd w:val="clear" w:color="auto" w:fill="FFFFFF"/>
        </w:rPr>
        <w:t>海南尖岭省级自然保护区管理站</w:t>
      </w:r>
      <w:r>
        <w:rPr>
          <w:rFonts w:hint="eastAsia" w:ascii="仿宋" w:hAnsi="仿宋" w:eastAsia="仿宋" w:cs="仿宋"/>
          <w:color w:val="333333"/>
          <w:sz w:val="30"/>
          <w:szCs w:val="30"/>
          <w:lang w:val="en" w:eastAsia="zh-CN"/>
        </w:rPr>
        <w:t>实有人数</w:t>
      </w:r>
      <w:r>
        <w:rPr>
          <w:rFonts w:hint="eastAsia" w:ascii="仿宋" w:hAnsi="仿宋" w:eastAsia="仿宋" w:cs="仿宋"/>
          <w:color w:val="333333"/>
          <w:sz w:val="30"/>
          <w:szCs w:val="30"/>
          <w:lang w:val="en-US" w:eastAsia="zh-CN"/>
        </w:rPr>
        <w:t>83人。其中，在职事业单位人数15人，在岗不在编2人，退休人数6人，公益林人员66人。</w:t>
      </w:r>
      <w:r>
        <w:rPr>
          <w:rFonts w:hint="eastAsia" w:ascii="仿宋" w:hAnsi="仿宋" w:eastAsia="仿宋" w:cs="仿宋"/>
          <w:color w:val="000000"/>
          <w:kern w:val="0"/>
          <w:sz w:val="30"/>
          <w:szCs w:val="30"/>
        </w:rPr>
        <w:t> </w:t>
      </w:r>
      <w:bookmarkStart w:id="119" w:name="_GoBack"/>
      <w:bookmarkEnd w:id="119"/>
    </w:p>
    <w:p>
      <w:pPr>
        <w:pStyle w:val="4"/>
        <w:shd w:val="clear" w:color="auto" w:fill="FFFFFF"/>
        <w:rPr>
          <w:rFonts w:ascii="仿宋_GB2312" w:hAnsi="微软雅黑" w:eastAsia="仿宋_GB2312"/>
          <w:sz w:val="32"/>
          <w:szCs w:val="32"/>
        </w:rPr>
      </w:pPr>
    </w:p>
    <w:p>
      <w:pPr>
        <w:shd w:val="clear" w:color="auto" w:fill="FFFFFF"/>
        <w:spacing w:before="100" w:beforeAutospacing="1" w:after="100" w:afterAutospacing="1"/>
        <w:jc w:val="center"/>
        <w:rPr>
          <w:rFonts w:ascii="黑体" w:hAnsi="ˎ̥" w:eastAsia="黑体"/>
          <w:sz w:val="32"/>
          <w:szCs w:val="32"/>
        </w:rPr>
      </w:pPr>
      <w:r>
        <w:rPr>
          <w:rFonts w:hint="eastAsia" w:ascii="黑体" w:hAnsi="ˎ̥" w:eastAsia="黑体"/>
          <w:sz w:val="32"/>
          <w:szCs w:val="32"/>
        </w:rPr>
        <w:t>第二部分  海南尖岭省级自然保护区管理站202</w:t>
      </w:r>
      <w:r>
        <w:rPr>
          <w:rFonts w:hint="eastAsia" w:ascii="黑体" w:hAnsi="ˎ̥" w:eastAsia="黑体"/>
          <w:sz w:val="32"/>
          <w:szCs w:val="32"/>
          <w:lang w:val="en-US" w:eastAsia="zh-CN"/>
        </w:rPr>
        <w:t>1</w:t>
      </w:r>
      <w:r>
        <w:rPr>
          <w:rFonts w:hint="eastAsia" w:ascii="黑体" w:hAnsi="ˎ̥" w:eastAsia="黑体"/>
          <w:sz w:val="32"/>
          <w:szCs w:val="32"/>
        </w:rPr>
        <w:t>年度部门决算公开报表</w:t>
      </w:r>
      <w:bookmarkEnd w:id="19"/>
      <w:bookmarkEnd w:id="20"/>
      <w:bookmarkEnd w:id="21"/>
      <w:bookmarkEnd w:id="22"/>
      <w:bookmarkEnd w:id="23"/>
      <w:bookmarkEnd w:id="24"/>
    </w:p>
    <w:p>
      <w:pPr>
        <w:shd w:val="clear" w:color="auto" w:fill="FFFFFF"/>
        <w:spacing w:before="100" w:beforeAutospacing="1" w:after="100" w:afterAutospacing="1"/>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shd w:val="clear" w:color="auto" w:fill="FFFFFF"/>
        <w:spacing w:before="100" w:beforeAutospacing="1" w:after="100" w:afterAutospacing="1"/>
        <w:ind w:firstLine="645"/>
        <w:rPr>
          <w:rFonts w:ascii="黑体" w:hAnsi="黑体" w:eastAsia="黑体" w:cs="黑体"/>
          <w:sz w:val="32"/>
          <w:szCs w:val="32"/>
        </w:rPr>
      </w:pPr>
      <w:bookmarkStart w:id="31" w:name="_Toc26621_WPSOffice_Level2"/>
      <w:bookmarkStart w:id="32" w:name="_Toc25608_WPSOffice_Level2"/>
      <w:bookmarkStart w:id="33" w:name="_Toc23139_WPSOffice_Level2"/>
      <w:bookmarkStart w:id="34" w:name="_Toc14349_WPSOffice_Level2"/>
      <w:bookmarkStart w:id="35" w:name="_Toc28622_WPSOffice_Level2"/>
      <w:bookmarkStart w:id="36" w:name="_Toc30334_WPSOffice_Level2"/>
      <w:r>
        <w:rPr>
          <w:rFonts w:hint="eastAsia" w:ascii="黑体" w:hAnsi="黑体" w:eastAsia="黑体" w:cs="黑体"/>
          <w:sz w:val="32"/>
          <w:szCs w:val="32"/>
        </w:rPr>
        <w:t>二、收入决算公开表（见正文附件）</w:t>
      </w:r>
      <w:bookmarkEnd w:id="31"/>
      <w:bookmarkEnd w:id="32"/>
      <w:bookmarkEnd w:id="33"/>
      <w:r>
        <w:rPr>
          <w:rFonts w:hint="eastAsia" w:ascii="黑体" w:hAnsi="黑体" w:eastAsia="黑体" w:cs="黑体"/>
          <w:sz w:val="32"/>
          <w:szCs w:val="32"/>
        </w:rPr>
        <w:t>。</w:t>
      </w:r>
      <w:bookmarkEnd w:id="34"/>
      <w:bookmarkEnd w:id="35"/>
      <w:bookmarkEnd w:id="36"/>
    </w:p>
    <w:p>
      <w:pPr>
        <w:shd w:val="clear" w:color="auto" w:fill="FFFFFF"/>
        <w:spacing w:before="100" w:beforeAutospacing="1" w:after="100" w:afterAutospacing="1"/>
        <w:ind w:firstLine="645"/>
        <w:rPr>
          <w:rFonts w:ascii="黑体" w:hAnsi="黑体" w:eastAsia="黑体" w:cs="黑体"/>
          <w:sz w:val="32"/>
          <w:szCs w:val="32"/>
        </w:rPr>
      </w:pPr>
      <w:bookmarkStart w:id="37" w:name="_Toc17626_WPSOffice_Level2"/>
      <w:bookmarkStart w:id="38" w:name="_Toc17858_WPSOffice_Level2"/>
      <w:bookmarkStart w:id="39" w:name="_Toc3262_WPSOffice_Level2"/>
      <w:bookmarkStart w:id="40" w:name="_Toc5489_WPSOffice_Level2"/>
      <w:bookmarkStart w:id="41" w:name="_Toc13854_WPSOffice_Level2"/>
      <w:bookmarkStart w:id="42" w:name="_Toc14658_WPSOffice_Level2"/>
      <w:r>
        <w:rPr>
          <w:rFonts w:hint="eastAsia" w:ascii="黑体" w:hAnsi="黑体" w:eastAsia="黑体" w:cs="黑体"/>
          <w:sz w:val="32"/>
          <w:szCs w:val="32"/>
        </w:rPr>
        <w:t>三、支出决算公开表（见正文附件）</w:t>
      </w:r>
      <w:bookmarkEnd w:id="37"/>
      <w:bookmarkEnd w:id="38"/>
      <w:bookmarkEnd w:id="39"/>
      <w:r>
        <w:rPr>
          <w:rFonts w:hint="eastAsia" w:ascii="黑体" w:hAnsi="黑体" w:eastAsia="黑体" w:cs="黑体"/>
          <w:sz w:val="32"/>
          <w:szCs w:val="32"/>
        </w:rPr>
        <w:t>。</w:t>
      </w:r>
      <w:bookmarkEnd w:id="40"/>
      <w:bookmarkEnd w:id="41"/>
      <w:bookmarkEnd w:id="42"/>
    </w:p>
    <w:p>
      <w:pPr>
        <w:shd w:val="clear" w:color="auto" w:fill="FFFFFF"/>
        <w:spacing w:before="100" w:beforeAutospacing="1" w:after="100" w:afterAutospacing="1"/>
        <w:ind w:firstLine="645"/>
        <w:rPr>
          <w:rFonts w:ascii="黑体" w:hAnsi="黑体" w:eastAsia="黑体" w:cs="黑体"/>
          <w:sz w:val="32"/>
          <w:szCs w:val="32"/>
        </w:rPr>
      </w:pPr>
      <w:bookmarkStart w:id="43" w:name="_Toc21415_WPSOffice_Level2"/>
      <w:bookmarkStart w:id="44" w:name="_Toc23591_WPSOffice_Level2"/>
      <w:bookmarkStart w:id="45" w:name="_Toc13701_WPSOffice_Level2"/>
      <w:bookmarkStart w:id="46" w:name="_Toc4265_WPSOffice_Level2"/>
      <w:bookmarkStart w:id="47" w:name="_Toc7988_WPSOffice_Level2"/>
      <w:bookmarkStart w:id="48" w:name="_Toc23493_WPSOffice_Level2"/>
      <w:r>
        <w:rPr>
          <w:rFonts w:hint="eastAsia" w:ascii="黑体" w:hAnsi="黑体" w:eastAsia="黑体" w:cs="黑体"/>
          <w:sz w:val="32"/>
          <w:szCs w:val="32"/>
        </w:rPr>
        <w:t>四、财政拨款收入支出决算公开表（见正文附件）</w:t>
      </w:r>
      <w:bookmarkEnd w:id="43"/>
      <w:bookmarkEnd w:id="44"/>
      <w:bookmarkEnd w:id="45"/>
      <w:r>
        <w:rPr>
          <w:rFonts w:hint="eastAsia" w:ascii="黑体" w:hAnsi="黑体" w:eastAsia="黑体" w:cs="黑体"/>
          <w:sz w:val="32"/>
          <w:szCs w:val="32"/>
        </w:rPr>
        <w:t>。</w:t>
      </w:r>
      <w:bookmarkEnd w:id="46"/>
      <w:bookmarkEnd w:id="47"/>
      <w:bookmarkEnd w:id="48"/>
    </w:p>
    <w:p>
      <w:pPr>
        <w:shd w:val="clear" w:color="auto" w:fill="FFFFFF"/>
        <w:spacing w:before="100" w:beforeAutospacing="1" w:after="100" w:afterAutospacing="1"/>
        <w:ind w:firstLine="645"/>
        <w:rPr>
          <w:rFonts w:ascii="黑体" w:hAnsi="黑体" w:eastAsia="黑体" w:cs="黑体"/>
          <w:sz w:val="32"/>
          <w:szCs w:val="32"/>
        </w:rPr>
      </w:pPr>
      <w:bookmarkStart w:id="49" w:name="_Toc25166_WPSOffice_Level2"/>
      <w:bookmarkStart w:id="50" w:name="_Toc22783_WPSOffice_Level2"/>
      <w:bookmarkStart w:id="51" w:name="_Toc7879_WPSOffice_Level2"/>
      <w:bookmarkStart w:id="52" w:name="_Toc23829_WPSOffice_Level2"/>
      <w:bookmarkStart w:id="53" w:name="_Toc13516_WPSOffice_Level2"/>
      <w:bookmarkStart w:id="54" w:name="_Toc2158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p>
    <w:p>
      <w:pPr>
        <w:shd w:val="clear" w:color="auto" w:fill="FFFFFF"/>
        <w:spacing w:before="100" w:beforeAutospacing="1" w:after="100" w:afterAutospacing="1"/>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3"/>
      <w:bookmarkEnd w:id="54"/>
      <w:r>
        <w:rPr>
          <w:rFonts w:hint="eastAsia" w:ascii="黑体" w:hAnsi="黑体" w:eastAsia="黑体" w:cs="黑体"/>
          <w:sz w:val="32"/>
          <w:szCs w:val="32"/>
        </w:rPr>
        <w:t>。</w:t>
      </w:r>
    </w:p>
    <w:p>
      <w:pPr>
        <w:shd w:val="clear" w:color="auto" w:fill="FFFFFF"/>
        <w:spacing w:before="100" w:beforeAutospacing="1" w:after="100" w:afterAutospacing="1"/>
        <w:ind w:firstLine="645"/>
        <w:rPr>
          <w:rFonts w:ascii="黑体" w:hAnsi="黑体" w:eastAsia="黑体" w:cs="黑体"/>
          <w:sz w:val="32"/>
          <w:szCs w:val="32"/>
        </w:rPr>
      </w:pPr>
      <w:bookmarkStart w:id="55" w:name="_Toc25362_WPSOffice_Level2"/>
      <w:bookmarkStart w:id="56" w:name="_Toc5343_WPSOffice_Level2"/>
      <w:bookmarkStart w:id="57" w:name="_Toc17833_WPSOffice_Level2"/>
      <w:bookmarkStart w:id="58" w:name="_Toc17283_WPSOffice_Level2"/>
      <w:bookmarkStart w:id="59" w:name="_Toc2632_WPSOffice_Level2"/>
      <w:bookmarkStart w:id="60" w:name="_Toc8373_WPSOffice_Level2"/>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pPr>
        <w:shd w:val="clear" w:color="auto" w:fill="FFFFFF"/>
        <w:spacing w:before="100" w:beforeAutospacing="1" w:after="100" w:afterAutospacing="1"/>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ind w:left="1210" w:leftChars="304" w:hanging="480" w:hangingChars="150"/>
        <w:rPr>
          <w:rFonts w:ascii="黑体" w:hAnsi="黑体" w:eastAsia="黑体" w:cs="黑体"/>
          <w:sz w:val="32"/>
          <w:szCs w:val="32"/>
        </w:rPr>
      </w:pPr>
      <w:bookmarkStart w:id="61" w:name="_Toc6020_WPSOffice_Level2"/>
      <w:bookmarkStart w:id="62" w:name="_Toc11799_WPSOffice_Level2"/>
      <w:bookmarkStart w:id="63" w:name="_Toc13345_WPSOffice_Level2"/>
      <w:bookmarkStart w:id="64" w:name="_Toc21310_WPSOffice_Level2"/>
      <w:bookmarkStart w:id="65" w:name="_Toc1533_WPSOffice_Level2"/>
      <w:bookmarkStart w:id="66" w:name="_Toc5594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pPr>
        <w:shd w:val="clear" w:color="auto" w:fill="FFFFFF"/>
        <w:spacing w:before="100" w:beforeAutospacing="1" w:after="100" w:afterAutospacing="1"/>
        <w:ind w:left="1459"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ind w:left="1210"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hd w:val="clear" w:color="auto" w:fill="FFFFFF"/>
        <w:spacing w:before="100" w:beforeAutospacing="1" w:after="100" w:afterAutospacing="1"/>
        <w:ind w:left="1459"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rPr>
          <w:rFonts w:ascii="黑体" w:hAnsi="黑体" w:eastAsia="黑体" w:cs="黑体"/>
          <w:sz w:val="32"/>
          <w:szCs w:val="32"/>
        </w:rPr>
      </w:pPr>
      <w:bookmarkStart w:id="67" w:name="_Toc19961_WPSOffice_Level2"/>
      <w:bookmarkStart w:id="68" w:name="_Toc1820_WPSOffice_Level2"/>
      <w:bookmarkStart w:id="69" w:name="_Toc9377_WPSOffice_Level2"/>
      <w:bookmarkStart w:id="70" w:name="_Toc29886_WPSOffice_Level2"/>
      <w:r>
        <w:rPr>
          <w:rFonts w:hint="eastAsia" w:ascii="黑体" w:hAnsi="黑体" w:eastAsia="黑体" w:cs="黑体"/>
          <w:sz w:val="32"/>
          <w:szCs w:val="32"/>
        </w:rPr>
        <w:t xml:space="preserve">    九、一般公共预算财政拨款“三公”经费支出决算</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w:t>
      </w:r>
      <w:bookmarkEnd w:id="67"/>
      <w:bookmarkEnd w:id="68"/>
      <w:bookmarkEnd w:id="69"/>
      <w:bookmarkEnd w:id="70"/>
      <w:r>
        <w:rPr>
          <w:rFonts w:hint="eastAsia" w:ascii="黑体" w:hAnsi="黑体" w:eastAsia="黑体" w:cs="黑体"/>
          <w:sz w:val="32"/>
          <w:szCs w:val="32"/>
        </w:rPr>
        <w:t>公开表（见正文附件）。</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十、政府性基金预算财政拨款“三公”经费支出决算</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公开表（见正文附件）。</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十一、国有资本经营预算财政拨款“三公”经费支出决算</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公开表（见正文附件）。</w:t>
      </w:r>
    </w:p>
    <w:p>
      <w:pPr>
        <w:shd w:val="clear" w:color="auto" w:fill="FFFFFF"/>
        <w:spacing w:before="100" w:beforeAutospacing="1" w:after="100" w:afterAutospacing="1"/>
        <w:rPr>
          <w:rFonts w:ascii="黑体" w:hAnsi="黑体" w:eastAsia="黑体" w:cs="黑体"/>
          <w:sz w:val="32"/>
          <w:szCs w:val="32"/>
        </w:rPr>
      </w:pPr>
    </w:p>
    <w:p>
      <w:pPr>
        <w:shd w:val="clear" w:color="auto" w:fill="FFFFFF"/>
        <w:spacing w:before="100" w:beforeAutospacing="1" w:after="100" w:afterAutospacing="1"/>
        <w:jc w:val="center"/>
        <w:rPr>
          <w:rFonts w:ascii="黑体" w:hAnsi="ˎ̥" w:eastAsia="黑体"/>
          <w:sz w:val="32"/>
          <w:szCs w:val="32"/>
        </w:rPr>
      </w:pPr>
      <w:bookmarkStart w:id="71" w:name="_Toc29683_WPSOffice_Level1"/>
      <w:bookmarkStart w:id="72" w:name="_Toc16686_WPSOffice_Level1"/>
      <w:bookmarkStart w:id="73" w:name="_Toc28629_WPSOffice_Level1"/>
      <w:bookmarkStart w:id="74" w:name="_Toc4402_WPSOffice_Level1"/>
      <w:bookmarkStart w:id="75" w:name="_Toc31264_WPSOffice_Level1"/>
      <w:bookmarkStart w:id="76" w:name="_Toc27590_WPSOffice_Level1"/>
      <w:r>
        <w:rPr>
          <w:rFonts w:hint="eastAsia" w:ascii="黑体" w:hAnsi="ˎ̥" w:eastAsia="黑体"/>
          <w:sz w:val="32"/>
          <w:szCs w:val="32"/>
        </w:rPr>
        <w:t>第三部分海南尖岭省级自然保护区管理站202</w:t>
      </w:r>
      <w:r>
        <w:rPr>
          <w:rFonts w:hint="eastAsia" w:ascii="黑体" w:hAnsi="ˎ̥" w:eastAsia="黑体"/>
          <w:sz w:val="32"/>
          <w:szCs w:val="32"/>
          <w:lang w:val="en-US" w:eastAsia="zh-CN"/>
        </w:rPr>
        <w:t>1</w:t>
      </w:r>
      <w:r>
        <w:rPr>
          <w:rFonts w:hint="eastAsia" w:ascii="黑体" w:hAnsi="ˎ̥" w:eastAsia="黑体"/>
          <w:sz w:val="32"/>
          <w:szCs w:val="32"/>
        </w:rPr>
        <w:t>年度部门决算情况说明</w:t>
      </w:r>
      <w:bookmarkEnd w:id="71"/>
      <w:bookmarkEnd w:id="72"/>
      <w:bookmarkEnd w:id="73"/>
      <w:bookmarkEnd w:id="74"/>
      <w:bookmarkEnd w:id="75"/>
      <w:bookmarkEnd w:id="76"/>
    </w:p>
    <w:p>
      <w:pPr>
        <w:shd w:val="clear" w:color="auto" w:fill="FFFFFF"/>
        <w:spacing w:before="100" w:beforeAutospacing="1" w:after="100" w:afterAutospacing="1"/>
        <w:jc w:val="center"/>
        <w:rPr>
          <w:rFonts w:ascii="黑体" w:hAnsi="ˎ̥" w:eastAsia="黑体"/>
          <w:sz w:val="32"/>
          <w:szCs w:val="32"/>
        </w:rPr>
      </w:pP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黑体" w:hAnsi="黑体" w:eastAsia="黑体" w:cs="黑体"/>
          <w:bCs/>
          <w:sz w:val="32"/>
          <w:szCs w:val="32"/>
        </w:rPr>
        <w:t>一、收入支出决算总体情况说明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年度收、支总计</w:t>
      </w:r>
      <w:r>
        <w:rPr>
          <w:rFonts w:hint="eastAsia" w:ascii="仿宋_GB2312" w:hAnsi="ˎ̥" w:eastAsia="仿宋_GB2312"/>
          <w:sz w:val="32"/>
          <w:szCs w:val="32"/>
          <w:lang w:val="en-US" w:eastAsia="zh-CN"/>
        </w:rPr>
        <w:t>609.14</w:t>
      </w:r>
      <w:r>
        <w:rPr>
          <w:rFonts w:hint="eastAsia" w:ascii="仿宋_GB2312" w:hAnsi="ˎ̥" w:eastAsia="仿宋_GB2312"/>
          <w:sz w:val="32"/>
          <w:szCs w:val="32"/>
        </w:rPr>
        <w:t>万元，与</w:t>
      </w:r>
      <w:r>
        <w:rPr>
          <w:rFonts w:hint="eastAsia" w:ascii="仿宋_GB2312" w:hAnsi="ˎ̥" w:eastAsia="仿宋_GB2312"/>
          <w:sz w:val="32"/>
          <w:szCs w:val="32"/>
          <w:lang w:val="en-US" w:eastAsia="zh-CN"/>
        </w:rPr>
        <w:t>2020</w:t>
      </w:r>
      <w:r>
        <w:rPr>
          <w:rFonts w:hint="eastAsia" w:ascii="仿宋_GB2312" w:hAnsi="ˎ̥" w:eastAsia="仿宋_GB2312"/>
          <w:sz w:val="32"/>
          <w:szCs w:val="32"/>
        </w:rPr>
        <w:t>年度相比，收入、支出总计各增加</w:t>
      </w:r>
      <w:r>
        <w:rPr>
          <w:rFonts w:hint="eastAsia" w:ascii="仿宋_GB2312" w:hAnsi="ˎ̥" w:eastAsia="仿宋_GB2312"/>
          <w:sz w:val="32"/>
          <w:szCs w:val="32"/>
          <w:lang w:val="en-US" w:eastAsia="zh-CN"/>
        </w:rPr>
        <w:t>43.74</w:t>
      </w:r>
      <w:r>
        <w:rPr>
          <w:rFonts w:hint="eastAsia" w:ascii="仿宋_GB2312" w:hAnsi="ˎ̥" w:eastAsia="仿宋_GB2312"/>
          <w:sz w:val="32"/>
          <w:szCs w:val="32"/>
        </w:rPr>
        <w:t>万元，增长</w:t>
      </w:r>
      <w:r>
        <w:rPr>
          <w:rFonts w:hint="eastAsia" w:ascii="仿宋_GB2312" w:hAnsi="ˎ̥" w:eastAsia="仿宋_GB2312"/>
          <w:sz w:val="32"/>
          <w:szCs w:val="32"/>
          <w:lang w:val="en-US" w:eastAsia="zh-CN"/>
        </w:rPr>
        <w:t>92.81</w:t>
      </w:r>
      <w:r>
        <w:rPr>
          <w:rFonts w:hint="eastAsia" w:ascii="仿宋_GB2312" w:hAnsi="ˎ̥" w:eastAsia="仿宋_GB2312"/>
          <w:sz w:val="32"/>
          <w:szCs w:val="32"/>
        </w:rPr>
        <w:t>%。主要原因：农林水</w:t>
      </w:r>
      <w:r>
        <w:rPr>
          <w:rFonts w:hint="eastAsia" w:ascii="仿宋_GB2312" w:hAnsi="ˎ̥" w:eastAsia="仿宋_GB2312"/>
          <w:sz w:val="32"/>
          <w:szCs w:val="32"/>
          <w:lang w:val="en-US" w:eastAsia="zh-CN"/>
        </w:rPr>
        <w:t>增加43.74万元</w:t>
      </w:r>
      <w:r>
        <w:rPr>
          <w:rFonts w:hint="eastAsia" w:ascii="仿宋_GB2312" w:hAnsi="ˎ̥" w:eastAsia="仿宋_GB2312"/>
          <w:sz w:val="32"/>
          <w:szCs w:val="32"/>
        </w:rPr>
        <w:t>。使用非财政拨款结余0.00万元，较20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年度决算数增加（减少）0万元。年初结转结余</w:t>
      </w:r>
      <w:r>
        <w:rPr>
          <w:rFonts w:hint="eastAsia" w:ascii="仿宋_GB2312" w:hAnsi="ˎ̥" w:eastAsia="仿宋_GB2312"/>
          <w:sz w:val="32"/>
          <w:szCs w:val="32"/>
          <w:lang w:val="en-US" w:eastAsia="zh-CN"/>
        </w:rPr>
        <w:t>3.85</w:t>
      </w:r>
      <w:r>
        <w:rPr>
          <w:rFonts w:hint="eastAsia" w:ascii="仿宋_GB2312" w:hAnsi="ˎ̥" w:eastAsia="仿宋_GB2312"/>
          <w:sz w:val="32"/>
          <w:szCs w:val="32"/>
        </w:rPr>
        <w:t>万元，主要是1、社会保障和就业和</w:t>
      </w:r>
      <w:r>
        <w:rPr>
          <w:rFonts w:ascii="仿宋_GB2312" w:hAnsi="ˎ̥" w:eastAsia="仿宋_GB2312"/>
          <w:sz w:val="32"/>
          <w:szCs w:val="32"/>
        </w:rPr>
        <w:t>住房公积金</w:t>
      </w:r>
      <w:r>
        <w:rPr>
          <w:rFonts w:hint="eastAsia" w:ascii="仿宋_GB2312" w:hAnsi="ˎ̥" w:eastAsia="仿宋_GB2312"/>
          <w:sz w:val="32"/>
          <w:szCs w:val="32"/>
        </w:rPr>
        <w:t>支出1.</w:t>
      </w:r>
      <w:r>
        <w:rPr>
          <w:rFonts w:hint="eastAsia" w:ascii="仿宋_GB2312" w:hAnsi="ˎ̥" w:eastAsia="仿宋_GB2312"/>
          <w:sz w:val="32"/>
          <w:szCs w:val="32"/>
          <w:lang w:val="en-US" w:eastAsia="zh-CN"/>
        </w:rPr>
        <w:t>59</w:t>
      </w:r>
      <w:r>
        <w:rPr>
          <w:rFonts w:hint="eastAsia" w:ascii="仿宋_GB2312" w:hAnsi="ˎ̥" w:eastAsia="仿宋_GB2312"/>
          <w:sz w:val="32"/>
          <w:szCs w:val="32"/>
        </w:rPr>
        <w:t>万元，2、农林水支出</w:t>
      </w:r>
      <w:r>
        <w:rPr>
          <w:rFonts w:hint="eastAsia" w:ascii="仿宋_GB2312" w:hAnsi="ˎ̥" w:eastAsia="仿宋_GB2312"/>
          <w:sz w:val="32"/>
          <w:szCs w:val="32"/>
          <w:lang w:val="en-US" w:eastAsia="zh-CN"/>
        </w:rPr>
        <w:t>2.26</w:t>
      </w:r>
      <w:r>
        <w:rPr>
          <w:rFonts w:hint="eastAsia" w:ascii="仿宋_GB2312" w:hAnsi="ˎ̥" w:eastAsia="仿宋_GB2312"/>
          <w:sz w:val="32"/>
          <w:szCs w:val="32"/>
        </w:rPr>
        <w:t>万元，较20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年度决算数减少</w:t>
      </w:r>
      <w:r>
        <w:rPr>
          <w:rFonts w:hint="eastAsia" w:ascii="仿宋_GB2312" w:hAnsi="ˎ̥" w:eastAsia="仿宋_GB2312"/>
          <w:sz w:val="32"/>
          <w:szCs w:val="32"/>
          <w:lang w:val="en-US" w:eastAsia="zh-CN"/>
        </w:rPr>
        <w:t>17.44</w:t>
      </w:r>
      <w:r>
        <w:rPr>
          <w:rFonts w:hint="eastAsia" w:ascii="仿宋_GB2312" w:hAnsi="ˎ̥" w:eastAsia="仿宋_GB2312"/>
          <w:sz w:val="32"/>
          <w:szCs w:val="32"/>
        </w:rPr>
        <w:t>万元，下降</w:t>
      </w:r>
      <w:r>
        <w:rPr>
          <w:rFonts w:hint="eastAsia" w:ascii="仿宋_GB2312" w:hAnsi="ˎ̥" w:eastAsia="仿宋_GB2312"/>
          <w:sz w:val="32"/>
          <w:szCs w:val="32"/>
          <w:lang w:val="en-US" w:eastAsia="zh-CN"/>
        </w:rPr>
        <w:t>18.08</w:t>
      </w:r>
      <w:r>
        <w:rPr>
          <w:rFonts w:hint="eastAsia" w:ascii="仿宋_GB2312" w:hAnsi="ˎ̥" w:eastAsia="仿宋_GB2312"/>
          <w:sz w:val="32"/>
          <w:szCs w:val="32"/>
        </w:rPr>
        <w:t>%，主要原因是</w:t>
      </w:r>
      <w:r>
        <w:rPr>
          <w:rFonts w:hint="eastAsia" w:ascii="仿宋_GB2312" w:hAnsi="ˎ̥" w:eastAsia="仿宋_GB2312"/>
          <w:sz w:val="32"/>
          <w:szCs w:val="32"/>
          <w:lang w:val="en-US" w:eastAsia="zh-CN"/>
        </w:rPr>
        <w:t>2020</w:t>
      </w:r>
      <w:r>
        <w:rPr>
          <w:rFonts w:hint="eastAsia" w:ascii="仿宋_GB2312" w:hAnsi="ˎ̥" w:eastAsia="仿宋_GB2312"/>
          <w:sz w:val="32"/>
          <w:szCs w:val="32"/>
        </w:rPr>
        <w:t>年年初结转结余数</w:t>
      </w:r>
      <w:r>
        <w:rPr>
          <w:rFonts w:hint="eastAsia" w:ascii="仿宋_GB2312" w:hAnsi="ˎ̥" w:eastAsia="仿宋_GB2312"/>
          <w:sz w:val="32"/>
          <w:szCs w:val="32"/>
          <w:lang w:val="en-US" w:eastAsia="zh-CN"/>
        </w:rPr>
        <w:t>大</w:t>
      </w:r>
      <w:r>
        <w:rPr>
          <w:rFonts w:hint="eastAsia" w:ascii="仿宋_GB2312" w:hAnsi="ˎ̥" w:eastAsia="仿宋_GB2312"/>
          <w:sz w:val="32"/>
          <w:szCs w:val="32"/>
        </w:rPr>
        <w:t>于202</w:t>
      </w:r>
      <w:r>
        <w:rPr>
          <w:rFonts w:hint="eastAsia" w:ascii="仿宋_GB2312" w:hAnsi="ˎ̥" w:eastAsia="仿宋_GB2312"/>
          <w:sz w:val="32"/>
          <w:szCs w:val="32"/>
          <w:lang w:val="en-US" w:eastAsia="zh-CN"/>
        </w:rPr>
        <w:t>1</w:t>
      </w:r>
      <w:r>
        <w:rPr>
          <w:rFonts w:hint="eastAsia" w:ascii="仿宋_GB2312" w:hAnsi="ˎ̥" w:eastAsia="仿宋_GB2312"/>
          <w:sz w:val="32"/>
          <w:szCs w:val="32"/>
        </w:rPr>
        <w:t>年年初结转结余数。结余分配</w:t>
      </w:r>
      <w:r>
        <w:rPr>
          <w:rFonts w:hint="eastAsia" w:ascii="仿宋_GB2312" w:hAnsi="ˎ̥" w:eastAsia="仿宋_GB2312"/>
          <w:sz w:val="32"/>
          <w:szCs w:val="32"/>
          <w:lang w:val="en-US" w:eastAsia="zh-CN"/>
        </w:rPr>
        <w:t>0</w:t>
      </w:r>
      <w:r>
        <w:rPr>
          <w:rFonts w:hint="eastAsia" w:ascii="仿宋_GB2312" w:hAnsi="ˎ̥" w:eastAsia="仿宋_GB2312"/>
          <w:sz w:val="32"/>
          <w:szCs w:val="32"/>
        </w:rPr>
        <w:t>万元。年末结转结余</w:t>
      </w:r>
      <w:r>
        <w:rPr>
          <w:rFonts w:hint="eastAsia" w:ascii="仿宋_GB2312" w:hAnsi="ˎ̥" w:eastAsia="仿宋_GB2312"/>
          <w:sz w:val="32"/>
          <w:szCs w:val="32"/>
          <w:lang w:val="en-US" w:eastAsia="zh-CN"/>
        </w:rPr>
        <w:t>6.1</w:t>
      </w:r>
      <w:r>
        <w:rPr>
          <w:rFonts w:hint="eastAsia" w:ascii="仿宋_GB2312" w:hAnsi="ˎ̥" w:eastAsia="仿宋_GB2312"/>
          <w:sz w:val="32"/>
          <w:szCs w:val="32"/>
        </w:rPr>
        <w:t>5万元，主要是1、社会保障和就业支出</w:t>
      </w:r>
      <w:r>
        <w:rPr>
          <w:rFonts w:hint="eastAsia" w:ascii="仿宋_GB2312" w:hAnsi="ˎ̥" w:eastAsia="仿宋_GB2312"/>
          <w:sz w:val="32"/>
          <w:szCs w:val="32"/>
          <w:lang w:val="en-US" w:eastAsia="zh-CN"/>
        </w:rPr>
        <w:t>1.12</w:t>
      </w:r>
      <w:r>
        <w:rPr>
          <w:rFonts w:hint="eastAsia" w:ascii="仿宋_GB2312" w:hAnsi="ˎ̥" w:eastAsia="仿宋_GB2312"/>
          <w:sz w:val="32"/>
          <w:szCs w:val="32"/>
        </w:rPr>
        <w:t>万元，2、农林水支出</w:t>
      </w:r>
      <w:r>
        <w:rPr>
          <w:rFonts w:hint="eastAsia" w:ascii="仿宋_GB2312" w:hAnsi="ˎ̥" w:eastAsia="仿宋_GB2312"/>
          <w:sz w:val="32"/>
          <w:szCs w:val="32"/>
          <w:lang w:val="en-US" w:eastAsia="zh-CN"/>
        </w:rPr>
        <w:t>4.55</w:t>
      </w:r>
      <w:r>
        <w:rPr>
          <w:rFonts w:hint="eastAsia" w:ascii="仿宋_GB2312" w:hAnsi="ˎ̥" w:eastAsia="仿宋_GB2312"/>
          <w:sz w:val="32"/>
          <w:szCs w:val="32"/>
        </w:rPr>
        <w:t>万元，3、住房公积金</w:t>
      </w:r>
      <w:r>
        <w:rPr>
          <w:rFonts w:hint="eastAsia" w:ascii="仿宋_GB2312" w:hAnsi="ˎ̥" w:eastAsia="仿宋_GB2312"/>
          <w:sz w:val="32"/>
          <w:szCs w:val="32"/>
          <w:lang w:val="en-US" w:eastAsia="zh-CN"/>
        </w:rPr>
        <w:t>0.43</w:t>
      </w:r>
      <w:r>
        <w:rPr>
          <w:rFonts w:hint="eastAsia" w:ascii="仿宋_GB2312" w:hAnsi="ˎ̥" w:eastAsia="仿宋_GB2312"/>
          <w:sz w:val="32"/>
          <w:szCs w:val="32"/>
        </w:rPr>
        <w:t>万元，较20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年度决算数增加</w:t>
      </w:r>
      <w:r>
        <w:rPr>
          <w:rFonts w:hint="eastAsia" w:ascii="仿宋_GB2312" w:hAnsi="ˎ̥" w:eastAsia="仿宋_GB2312"/>
          <w:sz w:val="32"/>
          <w:szCs w:val="32"/>
          <w:lang w:val="en-US" w:eastAsia="zh-CN"/>
        </w:rPr>
        <w:t>2.3</w:t>
      </w:r>
      <w:r>
        <w:rPr>
          <w:rFonts w:hint="eastAsia" w:ascii="仿宋_GB2312" w:hAnsi="ˎ̥" w:eastAsia="仿宋_GB2312"/>
          <w:sz w:val="32"/>
          <w:szCs w:val="32"/>
        </w:rPr>
        <w:t>万元，增长</w:t>
      </w:r>
      <w:r>
        <w:rPr>
          <w:rFonts w:hint="eastAsia" w:ascii="仿宋_GB2312" w:hAnsi="ˎ̥" w:eastAsia="仿宋_GB2312"/>
          <w:sz w:val="32"/>
          <w:szCs w:val="32"/>
          <w:lang w:val="en-US" w:eastAsia="zh-CN"/>
        </w:rPr>
        <w:t>.62.60</w:t>
      </w:r>
      <w:r>
        <w:rPr>
          <w:rFonts w:hint="eastAsia" w:ascii="仿宋_GB2312" w:hAnsi="ˎ̥" w:eastAsia="仿宋_GB2312"/>
          <w:sz w:val="32"/>
          <w:szCs w:val="32"/>
        </w:rPr>
        <w:t>%。</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本年收入合计</w:t>
      </w:r>
      <w:r>
        <w:rPr>
          <w:rFonts w:hint="eastAsia" w:ascii="仿宋_GB2312" w:hAnsi="ˎ̥" w:eastAsia="仿宋_GB2312"/>
          <w:sz w:val="32"/>
          <w:szCs w:val="32"/>
          <w:lang w:val="en-US" w:eastAsia="zh-CN"/>
        </w:rPr>
        <w:t>605.29</w:t>
      </w:r>
      <w:r>
        <w:rPr>
          <w:rFonts w:hint="eastAsia" w:ascii="仿宋_GB2312" w:hAnsi="ˎ̥" w:eastAsia="仿宋_GB2312"/>
          <w:sz w:val="32"/>
          <w:szCs w:val="32"/>
        </w:rPr>
        <w:t>万元，其中：财政拨款收入</w:t>
      </w:r>
      <w:r>
        <w:rPr>
          <w:rFonts w:hint="eastAsia" w:ascii="仿宋_GB2312" w:hAnsi="ˎ̥" w:eastAsia="仿宋_GB2312"/>
          <w:sz w:val="32"/>
          <w:szCs w:val="32"/>
          <w:lang w:val="en-US" w:eastAsia="zh-CN"/>
        </w:rPr>
        <w:t>599.28</w:t>
      </w:r>
      <w:r>
        <w:rPr>
          <w:rFonts w:hint="eastAsia" w:ascii="仿宋_GB2312" w:hAnsi="ˎ̥" w:eastAsia="仿宋_GB2312"/>
          <w:sz w:val="32"/>
          <w:szCs w:val="32"/>
        </w:rPr>
        <w:t>万元，占</w:t>
      </w:r>
      <w:r>
        <w:rPr>
          <w:rFonts w:hint="eastAsia" w:ascii="仿宋_GB2312" w:hAnsi="ˎ̥" w:eastAsia="仿宋_GB2312"/>
          <w:sz w:val="32"/>
          <w:szCs w:val="32"/>
          <w:lang w:val="en-US" w:eastAsia="zh-CN"/>
        </w:rPr>
        <w:t>99</w:t>
      </w:r>
      <w:r>
        <w:rPr>
          <w:rFonts w:hint="eastAsia" w:ascii="仿宋_GB2312" w:hAnsi="ˎ̥" w:eastAsia="仿宋_GB2312"/>
          <w:sz w:val="32"/>
          <w:szCs w:val="32"/>
        </w:rPr>
        <w:t>%；上级补助收入0.00 万元，占0%；事业收入</w:t>
      </w:r>
      <w:r>
        <w:rPr>
          <w:rFonts w:hint="eastAsia" w:ascii="仿宋_GB2312" w:hAnsi="ˎ̥" w:eastAsia="仿宋_GB2312"/>
          <w:sz w:val="32"/>
          <w:szCs w:val="32"/>
          <w:lang w:val="en-US" w:eastAsia="zh-CN"/>
        </w:rPr>
        <w:t>6.01</w:t>
      </w:r>
      <w:r>
        <w:rPr>
          <w:rFonts w:hint="eastAsia" w:ascii="仿宋_GB2312" w:hAnsi="ˎ̥" w:eastAsia="仿宋_GB2312"/>
          <w:sz w:val="32"/>
          <w:szCs w:val="32"/>
        </w:rPr>
        <w:t>万元，占</w:t>
      </w:r>
      <w:r>
        <w:rPr>
          <w:rFonts w:hint="eastAsia" w:ascii="仿宋_GB2312" w:hAnsi="ˎ̥" w:eastAsia="仿宋_GB2312"/>
          <w:sz w:val="32"/>
          <w:szCs w:val="32"/>
          <w:lang w:val="en-US" w:eastAsia="zh-CN"/>
        </w:rPr>
        <w:t>1</w:t>
      </w:r>
      <w:r>
        <w:rPr>
          <w:rFonts w:hint="eastAsia" w:ascii="仿宋_GB2312" w:hAnsi="ˎ̥" w:eastAsia="仿宋_GB2312"/>
          <w:sz w:val="32"/>
          <w:szCs w:val="32"/>
        </w:rPr>
        <w:t>%；经营收入0.00万元，占0%；附属单位上缴收入0.00万元，占0%；其他收入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shd w:val="clear" w:color="auto" w:fill="FFFFFF"/>
        <w:spacing w:before="100" w:beforeAutospacing="1" w:after="100" w:afterAutospacing="1"/>
        <w:ind w:left="470" w:leftChars="196"/>
        <w:rPr>
          <w:rFonts w:ascii="仿宋_GB2312" w:hAnsi="ˎ̥" w:eastAsia="仿宋_GB2312"/>
          <w:sz w:val="32"/>
          <w:szCs w:val="32"/>
        </w:rPr>
      </w:pPr>
      <w:r>
        <w:rPr>
          <w:rFonts w:hint="eastAsia" w:ascii="仿宋_GB2312" w:hAnsi="ˎ̥" w:eastAsia="仿宋_GB2312"/>
          <w:sz w:val="32"/>
          <w:szCs w:val="32"/>
        </w:rPr>
        <w:t xml:space="preserve">  </w:t>
      </w:r>
    </w:p>
    <w:p>
      <w:pPr>
        <w:shd w:val="clear" w:color="auto" w:fill="FFFFFF"/>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本年支出合计</w:t>
      </w:r>
      <w:r>
        <w:rPr>
          <w:rFonts w:hint="eastAsia" w:ascii="仿宋_GB2312" w:hAnsi="ˎ̥" w:eastAsia="仿宋_GB2312"/>
          <w:sz w:val="32"/>
          <w:szCs w:val="32"/>
          <w:lang w:val="en-US" w:eastAsia="zh-CN"/>
        </w:rPr>
        <w:t>603</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118.24</w:t>
      </w:r>
      <w:r>
        <w:rPr>
          <w:rFonts w:hint="eastAsia" w:ascii="仿宋_GB2312" w:hAnsi="ˎ̥" w:eastAsia="仿宋_GB2312"/>
          <w:sz w:val="32"/>
          <w:szCs w:val="32"/>
        </w:rPr>
        <w:t>万元，占</w:t>
      </w:r>
      <w:r>
        <w:rPr>
          <w:rFonts w:hint="eastAsia" w:ascii="仿宋_GB2312" w:hAnsi="ˎ̥" w:eastAsia="仿宋_GB2312"/>
          <w:sz w:val="32"/>
          <w:szCs w:val="32"/>
          <w:lang w:val="en-US" w:eastAsia="zh-CN"/>
        </w:rPr>
        <w:t>19.60</w:t>
      </w:r>
      <w:r>
        <w:rPr>
          <w:rFonts w:hint="eastAsia" w:ascii="仿宋_GB2312" w:hAnsi="ˎ̥" w:eastAsia="仿宋_GB2312"/>
          <w:sz w:val="32"/>
          <w:szCs w:val="32"/>
        </w:rPr>
        <w:t>%；项目支出</w:t>
      </w:r>
      <w:r>
        <w:rPr>
          <w:rFonts w:hint="eastAsia" w:ascii="仿宋_GB2312" w:hAnsi="ˎ̥" w:eastAsia="仿宋_GB2312"/>
          <w:sz w:val="32"/>
          <w:szCs w:val="32"/>
          <w:lang w:val="en-US" w:eastAsia="zh-CN"/>
        </w:rPr>
        <w:t>484.76</w:t>
      </w:r>
      <w:r>
        <w:rPr>
          <w:rFonts w:hint="eastAsia" w:ascii="仿宋_GB2312" w:hAnsi="ˎ̥" w:eastAsia="仿宋_GB2312"/>
          <w:sz w:val="32"/>
          <w:szCs w:val="32"/>
        </w:rPr>
        <w:t>万元，占</w:t>
      </w:r>
      <w:r>
        <w:rPr>
          <w:rFonts w:hint="eastAsia" w:ascii="仿宋_GB2312" w:hAnsi="ˎ̥" w:eastAsia="仿宋_GB2312"/>
          <w:sz w:val="32"/>
          <w:szCs w:val="32"/>
          <w:lang w:val="en-US" w:eastAsia="zh-CN"/>
        </w:rPr>
        <w:t>80.39</w:t>
      </w:r>
      <w:r>
        <w:rPr>
          <w:rFonts w:hint="eastAsia" w:ascii="仿宋_GB2312" w:hAnsi="ˎ̥" w:eastAsia="仿宋_GB2312"/>
          <w:sz w:val="32"/>
          <w:szCs w:val="32"/>
        </w:rPr>
        <w:t>%；上缴上级支出0.00万元，占0%；经营支出0.00万元，占0%；对附属单位补助支出0.00万元，占0%。</w:t>
      </w:r>
    </w:p>
    <w:p>
      <w:pPr>
        <w:shd w:val="clear" w:color="auto" w:fill="FFFFFF"/>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年度财政拨款收入、支出总计</w:t>
      </w:r>
      <w:r>
        <w:rPr>
          <w:rFonts w:hint="eastAsia" w:ascii="仿宋_GB2312" w:hAnsi="ˎ̥" w:eastAsia="仿宋_GB2312"/>
          <w:sz w:val="32"/>
          <w:szCs w:val="32"/>
          <w:lang w:val="en-US" w:eastAsia="zh-CN"/>
        </w:rPr>
        <w:t>600.88</w:t>
      </w:r>
      <w:r>
        <w:rPr>
          <w:rFonts w:hint="eastAsia" w:ascii="仿宋_GB2312" w:hAnsi="ˎ̥" w:eastAsia="仿宋_GB2312"/>
          <w:sz w:val="32"/>
          <w:szCs w:val="32"/>
        </w:rPr>
        <w:t>万元。与20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年度相比，财政拨款收入、支出总计各增加</w:t>
      </w:r>
      <w:r>
        <w:rPr>
          <w:rFonts w:hint="eastAsia" w:ascii="仿宋_GB2312" w:hAnsi="ˎ̥" w:eastAsia="仿宋_GB2312"/>
          <w:sz w:val="32"/>
          <w:szCs w:val="32"/>
          <w:lang w:val="en-US" w:eastAsia="zh-CN"/>
        </w:rPr>
        <w:t>49.39</w:t>
      </w:r>
      <w:r>
        <w:rPr>
          <w:rFonts w:hint="eastAsia" w:ascii="仿宋_GB2312" w:hAnsi="ˎ̥" w:eastAsia="仿宋_GB2312"/>
          <w:sz w:val="32"/>
          <w:szCs w:val="32"/>
        </w:rPr>
        <w:t>万元，增长</w:t>
      </w:r>
      <w:r>
        <w:rPr>
          <w:rFonts w:hint="eastAsia" w:ascii="仿宋_GB2312" w:hAnsi="ˎ̥" w:eastAsia="仿宋_GB2312"/>
          <w:sz w:val="32"/>
          <w:szCs w:val="32"/>
          <w:lang w:val="en-US" w:eastAsia="zh-CN"/>
        </w:rPr>
        <w:t>73.01</w:t>
      </w:r>
      <w:r>
        <w:rPr>
          <w:rFonts w:hint="eastAsia" w:ascii="仿宋_GB2312" w:hAnsi="ˎ̥" w:eastAsia="仿宋_GB2312"/>
          <w:sz w:val="32"/>
          <w:szCs w:val="32"/>
        </w:rPr>
        <w:t>%。主要原因：项目资金拨付增加。</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财政拨款年初结转结余</w:t>
      </w:r>
      <w:r>
        <w:rPr>
          <w:rFonts w:hint="eastAsia" w:ascii="仿宋_GB2312" w:hAnsi="ˎ̥" w:eastAsia="仿宋_GB2312"/>
          <w:sz w:val="32"/>
          <w:szCs w:val="32"/>
          <w:lang w:val="en-US" w:eastAsia="zh-CN"/>
        </w:rPr>
        <w:t>1.60</w:t>
      </w:r>
      <w:r>
        <w:rPr>
          <w:rFonts w:hint="eastAsia" w:ascii="仿宋_GB2312" w:hAnsi="ˎ̥" w:eastAsia="仿宋_GB2312"/>
          <w:sz w:val="32"/>
          <w:szCs w:val="32"/>
        </w:rPr>
        <w:t>万元，主要是1、事业机构1.60万元，较20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年度决算数增加</w:t>
      </w:r>
      <w:r>
        <w:rPr>
          <w:rFonts w:hint="eastAsia" w:ascii="仿宋_GB2312" w:hAnsi="ˎ̥" w:eastAsia="仿宋_GB2312"/>
          <w:sz w:val="32"/>
          <w:szCs w:val="32"/>
          <w:lang w:val="en-US" w:eastAsia="zh-CN"/>
        </w:rPr>
        <w:t>0</w:t>
      </w:r>
      <w:r>
        <w:rPr>
          <w:rFonts w:hint="eastAsia" w:ascii="仿宋_GB2312" w:hAnsi="ˎ̥" w:eastAsia="仿宋_GB2312"/>
          <w:sz w:val="32"/>
          <w:szCs w:val="32"/>
        </w:rPr>
        <w:t>万元，增长</w:t>
      </w:r>
      <w:r>
        <w:rPr>
          <w:rFonts w:hint="eastAsia" w:ascii="仿宋_GB2312" w:hAnsi="ˎ̥" w:eastAsia="仿宋_GB2312"/>
          <w:sz w:val="32"/>
          <w:szCs w:val="32"/>
          <w:lang w:val="en-US" w:eastAsia="zh-CN"/>
        </w:rPr>
        <w:t>0</w:t>
      </w:r>
      <w:r>
        <w:rPr>
          <w:rFonts w:hint="eastAsia" w:ascii="仿宋_GB2312" w:hAnsi="ˎ̥" w:eastAsia="仿宋_GB2312"/>
          <w:sz w:val="32"/>
          <w:szCs w:val="32"/>
        </w:rPr>
        <w:t>%，财政拨款年末结转结余1.60万元，主要是社会保障和就业和</w:t>
      </w:r>
      <w:r>
        <w:rPr>
          <w:rFonts w:ascii="仿宋_GB2312" w:hAnsi="ˎ̥" w:eastAsia="仿宋_GB2312"/>
          <w:sz w:val="32"/>
          <w:szCs w:val="32"/>
        </w:rPr>
        <w:t>住房公积金</w:t>
      </w:r>
      <w:r>
        <w:rPr>
          <w:rFonts w:hint="eastAsia" w:ascii="仿宋_GB2312" w:hAnsi="ˎ̥" w:eastAsia="仿宋_GB2312"/>
          <w:sz w:val="32"/>
          <w:szCs w:val="32"/>
        </w:rPr>
        <w:t>支出1.60万元，较</w:t>
      </w:r>
      <w:r>
        <w:rPr>
          <w:rFonts w:hint="eastAsia" w:ascii="仿宋_GB2312" w:hAnsi="ˎ̥" w:eastAsia="仿宋_GB2312"/>
          <w:sz w:val="32"/>
          <w:szCs w:val="32"/>
          <w:lang w:val="en-US" w:eastAsia="zh-CN"/>
        </w:rPr>
        <w:t>2020</w:t>
      </w:r>
      <w:r>
        <w:rPr>
          <w:rFonts w:hint="eastAsia" w:ascii="仿宋_GB2312" w:hAnsi="ˎ̥" w:eastAsia="仿宋_GB2312"/>
          <w:sz w:val="32"/>
          <w:szCs w:val="32"/>
        </w:rPr>
        <w:t>年度年</w:t>
      </w:r>
      <w:r>
        <w:rPr>
          <w:rStyle w:val="8"/>
          <w:rFonts w:hint="eastAsia" w:ascii="仿宋_GB2312" w:hAnsi="ˎ̥" w:eastAsia="仿宋_GB2312"/>
          <w:sz w:val="32"/>
          <w:szCs w:val="32"/>
        </w:rPr>
        <w:t>末决</w:t>
      </w:r>
      <w:r>
        <w:rPr>
          <w:rFonts w:hint="eastAsia" w:ascii="仿宋_GB2312" w:hAnsi="ˎ̥" w:eastAsia="仿宋_GB2312"/>
          <w:sz w:val="32"/>
          <w:szCs w:val="32"/>
        </w:rPr>
        <w:t>算数无变化。</w:t>
      </w:r>
    </w:p>
    <w:p>
      <w:pPr>
        <w:shd w:val="clear" w:color="auto" w:fill="FFFFFF"/>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shd w:val="clear" w:color="auto" w:fill="FFFFFF"/>
        <w:spacing w:before="100" w:beforeAutospacing="1" w:after="100" w:afterAutospacing="1"/>
        <w:ind w:firstLine="640" w:firstLineChars="200"/>
        <w:rPr>
          <w:rFonts w:ascii="楷体" w:hAnsi="楷体" w:eastAsia="楷体" w:cs="楷体"/>
          <w:sz w:val="32"/>
          <w:szCs w:val="32"/>
        </w:rPr>
      </w:pPr>
      <w:bookmarkStart w:id="77" w:name="_Toc17398_WPSOffice_Level2"/>
      <w:bookmarkStart w:id="78" w:name="_Toc13694_WPSOffice_Level2"/>
      <w:bookmarkStart w:id="79" w:name="_Toc9989_WPSOffice_Level2"/>
      <w:bookmarkStart w:id="80" w:name="_Toc23005_WPSOffice_Level2"/>
      <w:bookmarkStart w:id="81" w:name="_Toc19665_WPSOffice_Level2"/>
      <w:bookmarkStart w:id="82" w:name="_Toc21737_WPSOffice_Level2"/>
      <w:r>
        <w:rPr>
          <w:rFonts w:hint="eastAsia" w:ascii="楷体" w:hAnsi="楷体" w:eastAsia="楷体" w:cs="楷体"/>
          <w:sz w:val="32"/>
          <w:szCs w:val="32"/>
        </w:rPr>
        <w:t>（一）一般公共预算财政拨款支出决算总体情况</w:t>
      </w:r>
      <w:bookmarkEnd w:id="77"/>
      <w:bookmarkEnd w:id="78"/>
      <w:r>
        <w:rPr>
          <w:rFonts w:hint="eastAsia" w:ascii="楷体" w:hAnsi="楷体" w:eastAsia="楷体" w:cs="楷体"/>
          <w:sz w:val="32"/>
          <w:szCs w:val="32"/>
        </w:rPr>
        <w:t>。</w:t>
      </w:r>
      <w:bookmarkEnd w:id="79"/>
      <w:bookmarkEnd w:id="80"/>
      <w:bookmarkEnd w:id="81"/>
      <w:bookmarkEnd w:id="82"/>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年度一般公共预算财政拨款支出</w:t>
      </w:r>
      <w:r>
        <w:rPr>
          <w:rFonts w:hint="eastAsia" w:ascii="仿宋_GB2312" w:hAnsi="ˎ̥" w:eastAsia="仿宋_GB2312"/>
          <w:sz w:val="32"/>
          <w:szCs w:val="32"/>
          <w:lang w:val="en-US" w:eastAsia="zh-CN"/>
        </w:rPr>
        <w:t>599.28</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99.73</w:t>
      </w:r>
      <w:r>
        <w:rPr>
          <w:rFonts w:hint="eastAsia" w:ascii="仿宋_GB2312" w:hAnsi="ˎ̥" w:eastAsia="仿宋_GB2312"/>
          <w:sz w:val="32"/>
          <w:szCs w:val="32"/>
        </w:rPr>
        <w:t>%。与20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年度相比，一般公共预算财政拨款支出增加</w:t>
      </w:r>
      <w:r>
        <w:rPr>
          <w:rFonts w:hint="eastAsia" w:ascii="仿宋_GB2312" w:hAnsi="ˎ̥" w:eastAsia="仿宋_GB2312"/>
          <w:sz w:val="32"/>
          <w:szCs w:val="32"/>
          <w:lang w:val="en-US" w:eastAsia="zh-CN"/>
        </w:rPr>
        <w:t>49.39</w:t>
      </w:r>
      <w:r>
        <w:rPr>
          <w:rFonts w:hint="eastAsia" w:ascii="仿宋_GB2312" w:hAnsi="ˎ̥" w:eastAsia="仿宋_GB2312"/>
          <w:sz w:val="32"/>
          <w:szCs w:val="32"/>
        </w:rPr>
        <w:t>万元，增长</w:t>
      </w:r>
      <w:r>
        <w:rPr>
          <w:rFonts w:hint="eastAsia" w:ascii="仿宋_GB2312" w:hAnsi="ˎ̥" w:eastAsia="仿宋_GB2312"/>
          <w:sz w:val="32"/>
          <w:szCs w:val="32"/>
          <w:lang w:val="en-US" w:eastAsia="zh-CN"/>
        </w:rPr>
        <w:t>13.03</w:t>
      </w:r>
      <w:r>
        <w:rPr>
          <w:rFonts w:hint="eastAsia" w:ascii="仿宋_GB2312" w:hAnsi="ˎ̥" w:eastAsia="仿宋_GB2312"/>
          <w:sz w:val="32"/>
          <w:szCs w:val="32"/>
        </w:rPr>
        <w:t>%，主要202</w:t>
      </w:r>
      <w:r>
        <w:rPr>
          <w:rFonts w:hint="eastAsia" w:ascii="仿宋_GB2312" w:hAnsi="ˎ̥" w:eastAsia="仿宋_GB2312"/>
          <w:sz w:val="32"/>
          <w:szCs w:val="32"/>
          <w:lang w:val="en-US" w:eastAsia="zh-CN"/>
        </w:rPr>
        <w:t>1</w:t>
      </w:r>
      <w:r>
        <w:rPr>
          <w:rFonts w:hint="eastAsia" w:ascii="仿宋_GB2312" w:hAnsi="ˎ̥" w:eastAsia="仿宋_GB2312"/>
          <w:sz w:val="32"/>
          <w:szCs w:val="32"/>
        </w:rPr>
        <w:t>年项目支出较20</w:t>
      </w:r>
      <w:r>
        <w:rPr>
          <w:rFonts w:hint="eastAsia" w:ascii="仿宋_GB2312" w:hAnsi="ˎ̥" w:eastAsia="仿宋_GB2312"/>
          <w:sz w:val="32"/>
          <w:szCs w:val="32"/>
          <w:lang w:val="en-US" w:eastAsia="zh-CN"/>
        </w:rPr>
        <w:t>20</w:t>
      </w:r>
      <w:r>
        <w:rPr>
          <w:rFonts w:hint="eastAsia" w:ascii="仿宋_GB2312" w:hAnsi="ˎ̥" w:eastAsia="仿宋_GB2312"/>
          <w:sz w:val="32"/>
          <w:szCs w:val="32"/>
        </w:rPr>
        <w:t>年增加。</w:t>
      </w:r>
    </w:p>
    <w:p>
      <w:pPr>
        <w:shd w:val="clear" w:color="auto" w:fill="FFFFFF"/>
        <w:spacing w:before="100" w:beforeAutospacing="1" w:after="100" w:afterAutospacing="1"/>
        <w:ind w:firstLine="640" w:firstLineChars="200"/>
        <w:rPr>
          <w:rFonts w:ascii="楷体" w:hAnsi="楷体" w:eastAsia="楷体" w:cs="楷体"/>
          <w:sz w:val="32"/>
          <w:szCs w:val="32"/>
        </w:rPr>
      </w:pPr>
      <w:bookmarkStart w:id="83" w:name="_Toc2711_WPSOffice_Level2"/>
      <w:bookmarkStart w:id="84" w:name="_Toc18793_WPSOffice_Level2"/>
      <w:bookmarkStart w:id="85" w:name="_Toc27767_WPSOffice_Level2"/>
      <w:bookmarkStart w:id="86" w:name="_Toc19075_WPSOffice_Level2"/>
      <w:bookmarkStart w:id="87" w:name="_Toc19535_WPSOffice_Level2"/>
      <w:bookmarkStart w:id="88" w:name="_Toc23864_WPSOffice_Level2"/>
      <w:r>
        <w:rPr>
          <w:rFonts w:hint="eastAsia" w:ascii="楷体" w:hAnsi="楷体" w:eastAsia="楷体" w:cs="楷体"/>
          <w:sz w:val="32"/>
          <w:szCs w:val="32"/>
        </w:rPr>
        <w:t>（二）一般公共预算财政拨款支出决算结构情况</w:t>
      </w:r>
      <w:bookmarkEnd w:id="83"/>
      <w:bookmarkEnd w:id="84"/>
      <w:r>
        <w:rPr>
          <w:rFonts w:hint="eastAsia" w:ascii="楷体" w:hAnsi="楷体" w:eastAsia="楷体" w:cs="楷体"/>
          <w:sz w:val="32"/>
          <w:szCs w:val="32"/>
        </w:rPr>
        <w:t>。</w:t>
      </w:r>
      <w:bookmarkEnd w:id="85"/>
      <w:bookmarkEnd w:id="86"/>
      <w:bookmarkEnd w:id="87"/>
      <w:bookmarkEnd w:id="88"/>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年度一般公共预算财政拨款支出</w:t>
      </w:r>
      <w:r>
        <w:rPr>
          <w:rFonts w:hint="eastAsia" w:ascii="仿宋_GB2312" w:hAnsi="ˎ̥" w:eastAsia="仿宋_GB2312"/>
          <w:sz w:val="32"/>
          <w:szCs w:val="32"/>
          <w:lang w:val="en-US" w:eastAsia="zh-CN"/>
        </w:rPr>
        <w:t>599.28</w:t>
      </w:r>
      <w:r>
        <w:rPr>
          <w:rFonts w:hint="eastAsia" w:ascii="仿宋_GB2312" w:hAnsi="ˎ̥" w:eastAsia="仿宋_GB2312"/>
          <w:sz w:val="32"/>
          <w:szCs w:val="32"/>
        </w:rPr>
        <w:t>万元，主要用于以下方面：</w:t>
      </w:r>
      <w:r>
        <w:rPr>
          <w:rFonts w:hint="eastAsia" w:ascii="仿宋_GB2312" w:hAnsi="ˎ̥" w:eastAsia="仿宋_GB2312"/>
          <w:b/>
          <w:sz w:val="32"/>
          <w:szCs w:val="32"/>
        </w:rPr>
        <w:t>一般公共服务（类）</w:t>
      </w:r>
      <w:r>
        <w:rPr>
          <w:rFonts w:hint="eastAsia" w:ascii="仿宋_GB2312" w:hAnsi="ˎ̥" w:eastAsia="仿宋_GB2312"/>
          <w:sz w:val="32"/>
          <w:szCs w:val="32"/>
        </w:rPr>
        <w:t>支出3</w:t>
      </w:r>
      <w:r>
        <w:rPr>
          <w:rFonts w:hint="eastAsia" w:ascii="仿宋_GB2312" w:hAnsi="ˎ̥" w:eastAsia="仿宋_GB2312"/>
          <w:sz w:val="32"/>
          <w:szCs w:val="32"/>
          <w:lang w:val="en-US" w:eastAsia="zh-CN"/>
        </w:rPr>
        <w:t>.03</w:t>
      </w:r>
      <w:r>
        <w:rPr>
          <w:rFonts w:hint="eastAsia" w:ascii="仿宋_GB2312" w:hAnsi="ˎ̥" w:eastAsia="仿宋_GB2312"/>
          <w:sz w:val="32"/>
          <w:szCs w:val="32"/>
        </w:rPr>
        <w:t>万元，占0.</w:t>
      </w:r>
      <w:r>
        <w:rPr>
          <w:rFonts w:hint="eastAsia" w:ascii="仿宋_GB2312" w:hAnsi="ˎ̥" w:eastAsia="仿宋_GB2312"/>
          <w:sz w:val="32"/>
          <w:szCs w:val="32"/>
          <w:lang w:val="en-US" w:eastAsia="zh-CN"/>
        </w:rPr>
        <w:t>5</w:t>
      </w:r>
      <w:r>
        <w:rPr>
          <w:rFonts w:hint="eastAsia" w:ascii="仿宋_GB2312" w:hAnsi="ˎ̥" w:eastAsia="仿宋_GB2312"/>
          <w:sz w:val="32"/>
          <w:szCs w:val="32"/>
        </w:rPr>
        <w:t>%；</w:t>
      </w:r>
      <w:r>
        <w:rPr>
          <w:rFonts w:hint="eastAsia" w:ascii="仿宋_GB2312" w:hAnsi="ˎ̥" w:eastAsia="仿宋_GB2312"/>
          <w:b/>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5.7</w:t>
      </w:r>
      <w:r>
        <w:rPr>
          <w:rFonts w:hint="eastAsia" w:ascii="仿宋_GB2312" w:hAnsi="ˎ̥" w:eastAsia="仿宋_GB2312"/>
          <w:sz w:val="32"/>
          <w:szCs w:val="32"/>
        </w:rPr>
        <w:t>万元，占</w:t>
      </w:r>
      <w:r>
        <w:rPr>
          <w:rFonts w:hint="eastAsia" w:ascii="仿宋_GB2312" w:hAnsi="ˎ̥" w:eastAsia="仿宋_GB2312"/>
          <w:sz w:val="32"/>
          <w:szCs w:val="32"/>
          <w:lang w:val="en-US" w:eastAsia="zh-CN"/>
        </w:rPr>
        <w:t>0.9</w:t>
      </w:r>
      <w:r>
        <w:rPr>
          <w:rFonts w:hint="eastAsia" w:ascii="仿宋_GB2312" w:hAnsi="ˎ̥" w:eastAsia="仿宋_GB2312"/>
          <w:sz w:val="32"/>
          <w:szCs w:val="32"/>
        </w:rPr>
        <w:t>%；</w:t>
      </w:r>
      <w:r>
        <w:rPr>
          <w:rFonts w:hint="eastAsia" w:ascii="仿宋_GB2312" w:hAnsi="ˎ̥" w:eastAsia="仿宋_GB2312"/>
          <w:b/>
          <w:bCs/>
          <w:sz w:val="32"/>
          <w:szCs w:val="32"/>
        </w:rPr>
        <w:t>住房保障（类）</w:t>
      </w:r>
      <w:r>
        <w:rPr>
          <w:rFonts w:hint="eastAsia" w:ascii="仿宋_GB2312" w:hAnsi="ˎ̥" w:eastAsia="仿宋_GB2312"/>
          <w:sz w:val="32"/>
          <w:szCs w:val="32"/>
        </w:rPr>
        <w:t>支出4</w:t>
      </w:r>
      <w:r>
        <w:rPr>
          <w:rFonts w:hint="eastAsia" w:ascii="仿宋_GB2312" w:hAnsi="ˎ̥" w:eastAsia="仿宋_GB2312"/>
          <w:sz w:val="32"/>
          <w:szCs w:val="32"/>
          <w:lang w:val="en-US" w:eastAsia="zh-CN"/>
        </w:rPr>
        <w:t>.9</w:t>
      </w:r>
      <w:r>
        <w:rPr>
          <w:rFonts w:hint="eastAsia" w:ascii="仿宋_GB2312" w:hAnsi="ˎ̥" w:eastAsia="仿宋_GB2312"/>
          <w:sz w:val="32"/>
          <w:szCs w:val="32"/>
        </w:rPr>
        <w:t>万元，占0.</w:t>
      </w:r>
      <w:r>
        <w:rPr>
          <w:rFonts w:hint="eastAsia" w:ascii="仿宋_GB2312" w:hAnsi="ˎ̥" w:eastAsia="仿宋_GB2312"/>
          <w:sz w:val="32"/>
          <w:szCs w:val="32"/>
          <w:lang w:val="en-US" w:eastAsia="zh-CN"/>
        </w:rPr>
        <w:t>88</w:t>
      </w:r>
      <w:r>
        <w:rPr>
          <w:rFonts w:hint="eastAsia" w:ascii="仿宋_GB2312" w:hAnsi="ˎ̥" w:eastAsia="仿宋_GB2312"/>
          <w:sz w:val="32"/>
          <w:szCs w:val="32"/>
        </w:rPr>
        <w:t>%；</w:t>
      </w:r>
      <w:r>
        <w:rPr>
          <w:rFonts w:hint="eastAsia" w:ascii="仿宋_GB2312" w:hAnsi="ˎ̥" w:eastAsia="仿宋_GB2312"/>
          <w:b/>
          <w:sz w:val="32"/>
          <w:szCs w:val="32"/>
        </w:rPr>
        <w:t>农林水（类）</w:t>
      </w:r>
      <w:r>
        <w:rPr>
          <w:rFonts w:hint="eastAsia" w:ascii="仿宋_GB2312" w:hAnsi="ˎ̥" w:eastAsia="仿宋_GB2312"/>
          <w:sz w:val="32"/>
          <w:szCs w:val="32"/>
        </w:rPr>
        <w:t>支出5</w:t>
      </w:r>
      <w:r>
        <w:rPr>
          <w:rFonts w:hint="eastAsia" w:ascii="仿宋_GB2312" w:hAnsi="ˎ̥" w:eastAsia="仿宋_GB2312"/>
          <w:sz w:val="32"/>
          <w:szCs w:val="32"/>
          <w:lang w:val="en-US" w:eastAsia="zh-CN"/>
        </w:rPr>
        <w:t>85.64</w:t>
      </w:r>
      <w:r>
        <w:rPr>
          <w:rFonts w:hint="eastAsia" w:ascii="仿宋_GB2312" w:hAnsi="ˎ̥" w:eastAsia="仿宋_GB2312"/>
          <w:sz w:val="32"/>
          <w:szCs w:val="32"/>
        </w:rPr>
        <w:t>万元，占97.</w:t>
      </w:r>
      <w:r>
        <w:rPr>
          <w:rFonts w:hint="eastAsia" w:ascii="仿宋_GB2312" w:hAnsi="ˎ̥" w:eastAsia="仿宋_GB2312"/>
          <w:sz w:val="32"/>
          <w:szCs w:val="32"/>
          <w:lang w:val="en-US" w:eastAsia="zh-CN"/>
        </w:rPr>
        <w:t>72</w:t>
      </w:r>
      <w:r>
        <w:rPr>
          <w:rFonts w:hint="eastAsia" w:ascii="仿宋_GB2312" w:hAnsi="ˎ̥" w:eastAsia="仿宋_GB2312"/>
          <w:sz w:val="32"/>
          <w:szCs w:val="32"/>
        </w:rPr>
        <w:t>%。</w:t>
      </w:r>
    </w:p>
    <w:p>
      <w:pPr>
        <w:shd w:val="clear" w:color="auto" w:fill="FFFFFF"/>
        <w:spacing w:before="100" w:beforeAutospacing="1" w:after="100" w:afterAutospacing="1"/>
        <w:ind w:firstLine="640" w:firstLineChars="200"/>
        <w:rPr>
          <w:rFonts w:ascii="楷体" w:hAnsi="楷体" w:eastAsia="楷体" w:cs="楷体"/>
          <w:sz w:val="32"/>
          <w:szCs w:val="32"/>
        </w:rPr>
      </w:pPr>
      <w:bookmarkStart w:id="89" w:name="_Toc21701_WPSOffice_Level2"/>
      <w:bookmarkStart w:id="90" w:name="_Toc29364_WPSOffice_Level2"/>
      <w:bookmarkStart w:id="91" w:name="_Toc22318_WPSOffice_Level2"/>
      <w:bookmarkStart w:id="92" w:name="_Toc9502_WPSOffice_Level2"/>
      <w:bookmarkStart w:id="93" w:name="_Toc25136_WPSOffice_Level2"/>
      <w:bookmarkStart w:id="94" w:name="_Toc15415_WPSOffice_Level2"/>
      <w:r>
        <w:rPr>
          <w:rFonts w:hint="eastAsia" w:ascii="楷体" w:hAnsi="楷体" w:eastAsia="楷体" w:cs="楷体"/>
          <w:sz w:val="32"/>
          <w:szCs w:val="32"/>
        </w:rPr>
        <w:t>（三）一般公共预算财政拨款支出决算具体情况。</w:t>
      </w:r>
      <w:bookmarkEnd w:id="89"/>
      <w:bookmarkEnd w:id="90"/>
      <w:bookmarkEnd w:id="91"/>
      <w:bookmarkEnd w:id="92"/>
      <w:bookmarkEnd w:id="93"/>
      <w:bookmarkEnd w:id="94"/>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年度一般公共预算财政拨款支出年初预算为</w:t>
      </w:r>
      <w:r>
        <w:rPr>
          <w:rFonts w:hint="eastAsia" w:ascii="仿宋_GB2312" w:hAnsi="ˎ̥" w:eastAsia="仿宋_GB2312"/>
          <w:sz w:val="32"/>
          <w:szCs w:val="32"/>
          <w:lang w:val="en-US" w:eastAsia="zh-CN"/>
        </w:rPr>
        <w:t>599.28</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599.28</w:t>
      </w:r>
      <w:r>
        <w:rPr>
          <w:rFonts w:hint="eastAsia" w:ascii="仿宋_GB2312" w:hAnsi="ˎ̥" w:eastAsia="仿宋_GB2312"/>
          <w:sz w:val="32"/>
          <w:szCs w:val="32"/>
        </w:rPr>
        <w:t>万元，完成年初预算的10</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shd w:val="clear" w:color="auto" w:fill="FFFFFF"/>
        <w:spacing w:before="100" w:beforeAutospacing="1" w:after="100" w:afterAutospacing="1"/>
        <w:ind w:firstLine="640" w:firstLineChars="200"/>
        <w:rPr>
          <w:rFonts w:ascii="仿宋_GB2312" w:hAnsi="ˎ̥" w:eastAsia="仿宋_GB2312"/>
          <w:b/>
          <w:sz w:val="32"/>
          <w:szCs w:val="32"/>
        </w:rPr>
      </w:pPr>
      <w:r>
        <w:rPr>
          <w:rFonts w:hint="eastAsia" w:ascii="仿宋_GB2312" w:hAnsi="ˎ̥" w:eastAsia="仿宋_GB2312"/>
          <w:sz w:val="32"/>
          <w:szCs w:val="32"/>
        </w:rPr>
        <w:t>1.</w:t>
      </w:r>
      <w:r>
        <w:rPr>
          <w:rFonts w:hint="eastAsia" w:ascii="仿宋_GB2312" w:hAnsi="ˎ̥" w:eastAsia="仿宋_GB2312"/>
          <w:b/>
          <w:sz w:val="32"/>
          <w:szCs w:val="32"/>
        </w:rPr>
        <w:t>一般公共服务（类）人大事务（款）行政运行（项）。</w:t>
      </w:r>
    </w:p>
    <w:p>
      <w:pPr>
        <w:shd w:val="clear" w:color="auto" w:fill="FFFFFF"/>
        <w:spacing w:before="100" w:beforeAutospacing="1" w:after="100" w:afterAutospacing="1"/>
        <w:rPr>
          <w:rFonts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599.28</w:t>
      </w:r>
      <w:r>
        <w:rPr>
          <w:rFonts w:hint="eastAsia" w:ascii="仿宋_GB2312" w:hAnsi="ˎ̥" w:eastAsia="仿宋_GB2312"/>
          <w:sz w:val="32"/>
          <w:szCs w:val="32"/>
        </w:rPr>
        <w:t>2万元，支出决算为</w:t>
      </w:r>
      <w:r>
        <w:rPr>
          <w:rFonts w:hint="eastAsia" w:ascii="仿宋_GB2312" w:hAnsi="ˎ̥" w:eastAsia="仿宋_GB2312"/>
          <w:sz w:val="32"/>
          <w:szCs w:val="32"/>
          <w:lang w:val="en-US" w:eastAsia="zh-CN"/>
        </w:rPr>
        <w:t>599.28万元</w:t>
      </w:r>
      <w:r>
        <w:rPr>
          <w:rFonts w:hint="eastAsia" w:ascii="仿宋_GB2312" w:hAnsi="ˎ̥" w:eastAsia="仿宋_GB2312"/>
          <w:sz w:val="32"/>
          <w:szCs w:val="32"/>
        </w:rPr>
        <w:t>，完成年初预算的10</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shd w:val="clear" w:color="auto" w:fill="FFFFFF"/>
        <w:spacing w:before="100" w:beforeAutospacing="1" w:after="100" w:afterAutospacing="1"/>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shd w:val="clear" w:color="auto" w:fill="FFFFFF"/>
        <w:tabs>
          <w:tab w:val="center" w:pos="4473"/>
        </w:tabs>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年度财政拨款基本支出</w:t>
      </w:r>
      <w:r>
        <w:rPr>
          <w:rFonts w:hint="eastAsia" w:ascii="仿宋_GB2312" w:hAnsi="ˎ̥" w:eastAsia="仿宋_GB2312"/>
          <w:sz w:val="32"/>
          <w:szCs w:val="32"/>
          <w:lang w:val="en-US" w:eastAsia="zh-CN"/>
        </w:rPr>
        <w:t>118.42</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99.72</w:t>
      </w:r>
      <w:r>
        <w:rPr>
          <w:rFonts w:hint="eastAsia" w:ascii="仿宋_GB2312" w:hAnsi="ˎ̥" w:eastAsia="仿宋_GB2312"/>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w:t>
      </w:r>
      <w:r>
        <w:rPr>
          <w:rFonts w:hint="eastAsia" w:ascii="仿宋_GB2312" w:hAnsi="ˎ̥" w:eastAsia="仿宋_GB2312"/>
          <w:sz w:val="32"/>
          <w:szCs w:val="32"/>
          <w:lang w:val="en-US" w:eastAsia="zh-CN"/>
        </w:rPr>
        <w:t>18.52</w:t>
      </w:r>
      <w:r>
        <w:rPr>
          <w:rFonts w:hint="eastAsia" w:ascii="仿宋_GB2312" w:hAnsi="ˎ̥" w:eastAsia="仿宋_GB2312"/>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pPr>
        <w:shd w:val="clear" w:color="auto" w:fill="FFFFFF"/>
        <w:tabs>
          <w:tab w:val="center" w:pos="4473"/>
        </w:tabs>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shd w:val="clear" w:color="auto" w:fill="FFFFFF"/>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年度政府性基金预算财政拨款支出0.00万元，占本年支出合计的0%。与20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年度相比，政府性基金预算财政拨款支出无发生数，无增减比率，主要原因是无收支发生数，</w:t>
      </w:r>
      <w:r>
        <w:rPr>
          <w:rFonts w:hint="eastAsia"/>
        </w:rPr>
        <w:t xml:space="preserve"> </w:t>
      </w:r>
      <w:r>
        <w:rPr>
          <w:rFonts w:hint="eastAsia" w:ascii="仿宋_GB2312" w:hAnsi="ˎ̥" w:eastAsia="仿宋_GB2312"/>
          <w:sz w:val="32"/>
          <w:szCs w:val="32"/>
        </w:rPr>
        <w:t>本年没有发生与该表相关的收支决算数据。</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年度政府性基金预算财政拨款支出0.00万元，</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年度政府性基金预算财政拨款支出年初预算为0万元，支出决算为0万元，完成年初预算的0%，</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tabs>
          <w:tab w:val="center" w:pos="4473"/>
        </w:tabs>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年度国有资本经营预算财政拨款支出0.00万元，占本年支出合计的0%。与20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年度相比，国有资本经营预算财政拨款支出无支出数，无增减比率，</w:t>
      </w:r>
      <w:r>
        <w:rPr>
          <w:rFonts w:hint="eastAsia"/>
        </w:rPr>
        <w:t xml:space="preserve"> </w:t>
      </w:r>
      <w:r>
        <w:rPr>
          <w:rFonts w:hint="eastAsia" w:ascii="仿宋_GB2312" w:hAnsi="ˎ̥" w:eastAsia="仿宋_GB2312"/>
          <w:sz w:val="32"/>
          <w:szCs w:val="32"/>
        </w:rPr>
        <w:t>本年没有发生与该表相关的收支决算数据。</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年度国有资本经营预算财政拨款支出0.00万元，</w:t>
      </w:r>
      <w:r>
        <w:rPr>
          <w:rFonts w:hint="eastAsia"/>
        </w:rPr>
        <w:t xml:space="preserve"> </w:t>
      </w:r>
      <w:r>
        <w:rPr>
          <w:rFonts w:hint="eastAsia" w:ascii="仿宋_GB2312" w:hAnsi="ˎ̥" w:eastAsia="仿宋_GB2312"/>
          <w:sz w:val="32"/>
          <w:szCs w:val="32"/>
        </w:rPr>
        <w:t>本年没有发生与该表相关的收支决算数据。</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年度国有资本经营预算财政拨款支出年初预算为0万元，支出决算为0.00万元，完成年初预算的0%，</w:t>
      </w:r>
      <w:r>
        <w:rPr>
          <w:rFonts w:hint="eastAsia"/>
        </w:rPr>
        <w:t xml:space="preserve"> </w:t>
      </w:r>
      <w:r>
        <w:rPr>
          <w:rFonts w:hint="eastAsia" w:ascii="仿宋_GB2312" w:hAnsi="ˎ̥" w:eastAsia="仿宋_GB2312"/>
          <w:sz w:val="32"/>
          <w:szCs w:val="32"/>
        </w:rPr>
        <w:t>本年没有发生与该表相关的收支决算数据。</w:t>
      </w:r>
    </w:p>
    <w:p>
      <w:pPr>
        <w:spacing w:before="100" w:beforeAutospacing="1" w:after="100" w:afterAutospacing="1"/>
        <w:ind w:firstLine="640" w:firstLineChars="200"/>
        <w:rPr>
          <w:rFonts w:ascii="仿宋_GB2312" w:hAnsi="ˎ̥" w:eastAsia="楷体_GB2312"/>
          <w:sz w:val="32"/>
          <w:szCs w:val="32"/>
        </w:rPr>
      </w:pPr>
      <w:r>
        <w:rPr>
          <w:rFonts w:hint="eastAsia" w:ascii="黑体" w:hAnsi="黑体" w:eastAsia="黑体" w:cs="黑体"/>
          <w:bCs/>
          <w:sz w:val="32"/>
          <w:szCs w:val="32"/>
        </w:rPr>
        <w:t>九、一般公共预算财政拨款“三公”经费支出决算情况说明</w:t>
      </w:r>
    </w:p>
    <w:p>
      <w:pPr>
        <w:shd w:val="clear" w:color="auto" w:fill="FFFFFF"/>
        <w:spacing w:before="100" w:beforeAutospacing="1" w:after="100" w:afterAutospacing="1"/>
        <w:ind w:firstLine="643" w:firstLineChars="200"/>
        <w:rPr>
          <w:rFonts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 xml:space="preserve">    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年度一般公共预算财政拨款“三公”经费支出预算为0.00万元，支出决算为0.00万元，完成预算的0%，</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rPr>
          <w:rFonts w:ascii="楷体" w:hAnsi="楷体" w:eastAsia="楷体" w:cs="楷体"/>
          <w:b/>
          <w:bCs/>
          <w:sz w:val="32"/>
          <w:szCs w:val="32"/>
        </w:rPr>
      </w:pPr>
      <w:r>
        <w:rPr>
          <w:rFonts w:hint="eastAsia" w:ascii="楷体" w:hAnsi="楷体" w:eastAsia="楷体" w:cs="楷体"/>
          <w:b/>
          <w:bCs/>
          <w:sz w:val="32"/>
          <w:szCs w:val="32"/>
        </w:rPr>
        <w:t xml:space="preserve">    （二）一般公共预算财政拨款“三公”经费支出决算具体情况说明。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年度一般公共预算财政拨款“三公”经费支出决算中，因公出国（境）费支出决算0.00万元，占0%；公务用车购置及运行费支出决算0.00万元，占0%；公务接待费支出决算0.00万元，占0%。具体情况如下：</w:t>
      </w:r>
    </w:p>
    <w:p>
      <w:pPr>
        <w:shd w:val="clear" w:color="auto" w:fill="FFFFFF"/>
        <w:spacing w:before="100" w:beforeAutospacing="1" w:after="100" w:afterAutospacing="1"/>
        <w:ind w:firstLine="643" w:firstLineChars="200"/>
        <w:rPr>
          <w:rFonts w:ascii="仿宋_GB2312" w:hAnsi="ˎ̥" w:eastAsia="仿宋_GB2312"/>
          <w:sz w:val="32"/>
          <w:szCs w:val="32"/>
        </w:rPr>
      </w:pPr>
      <w:r>
        <w:rPr>
          <w:rFonts w:hint="eastAsia" w:ascii="仿宋_GB2312" w:hAnsi="ˎ̥" w:eastAsia="仿宋_GB2312"/>
          <w:b/>
          <w:sz w:val="32"/>
          <w:szCs w:val="32"/>
        </w:rPr>
        <w:t>1.因公出国（境）费</w:t>
      </w:r>
      <w:r>
        <w:rPr>
          <w:rFonts w:hint="eastAsia" w:ascii="仿宋_GB2312" w:hAnsi="ˎ̥" w:eastAsia="仿宋_GB2312"/>
          <w:sz w:val="32"/>
          <w:szCs w:val="32"/>
        </w:rPr>
        <w:t>支出0.00万元。全年安排因公出国（境）团组0</w:t>
      </w:r>
      <w:r>
        <w:rPr>
          <w:rStyle w:val="8"/>
          <w:rFonts w:hint="eastAsia" w:ascii="仿宋_GB2312" w:hAnsi="ˎ̥" w:eastAsia="仿宋_GB2312"/>
          <w:sz w:val="32"/>
          <w:szCs w:val="32"/>
        </w:rPr>
        <w:t>个</w:t>
      </w:r>
      <w:r>
        <w:rPr>
          <w:rFonts w:hint="eastAsia" w:ascii="仿宋_GB2312" w:hAnsi="ˎ̥" w:eastAsia="仿宋_GB2312"/>
          <w:sz w:val="32"/>
          <w:szCs w:val="32"/>
        </w:rPr>
        <w:t>，因公出国（境）0人次，</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3" w:firstLineChars="200"/>
        <w:rPr>
          <w:rFonts w:ascii="仿宋_GB2312" w:hAnsi="ˎ̥" w:eastAsia="仿宋_GB2312"/>
          <w:sz w:val="32"/>
          <w:szCs w:val="32"/>
        </w:rPr>
      </w:pPr>
      <w:r>
        <w:rPr>
          <w:rFonts w:hint="eastAsia" w:ascii="仿宋_GB2312" w:hAnsi="ˎ̥" w:eastAsia="仿宋_GB2312"/>
          <w:b/>
          <w:sz w:val="32"/>
          <w:szCs w:val="32"/>
        </w:rPr>
        <w:t xml:space="preserve">    2.公务用车购置及运行费支出</w:t>
      </w:r>
      <w:r>
        <w:rPr>
          <w:rFonts w:hint="eastAsia" w:ascii="仿宋_GB2312" w:hAnsi="ˎ̥" w:eastAsia="仿宋_GB2312"/>
          <w:sz w:val="32"/>
          <w:szCs w:val="32"/>
        </w:rPr>
        <w:t>0.00万元。其中：</w:t>
      </w:r>
    </w:p>
    <w:p>
      <w:pPr>
        <w:shd w:val="clear" w:color="auto" w:fill="FFFFFF"/>
        <w:spacing w:before="100" w:beforeAutospacing="1" w:after="100" w:afterAutospacing="1"/>
        <w:ind w:firstLine="643" w:firstLineChars="200"/>
        <w:rPr>
          <w:rFonts w:ascii="仿宋_GB2312" w:hAnsi="ˎ̥" w:eastAsia="仿宋_GB2312"/>
          <w:sz w:val="32"/>
          <w:szCs w:val="32"/>
        </w:rPr>
      </w:pPr>
      <w:r>
        <w:rPr>
          <w:rFonts w:hint="eastAsia" w:ascii="仿宋_GB2312" w:hAnsi="ˎ̥" w:eastAsia="仿宋_GB2312"/>
          <w:b/>
          <w:sz w:val="32"/>
          <w:szCs w:val="32"/>
        </w:rPr>
        <w:t>公务用车购置支出</w:t>
      </w:r>
      <w:r>
        <w:rPr>
          <w:rFonts w:hint="eastAsia" w:ascii="仿宋_GB2312" w:hAnsi="ˎ̥" w:eastAsia="仿宋_GB2312"/>
          <w:sz w:val="32"/>
          <w:szCs w:val="32"/>
        </w:rPr>
        <w:t>0.00万元，全年购置公务用车0辆，</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3" w:firstLineChars="200"/>
        <w:rPr>
          <w:rFonts w:ascii="仿宋_GB2312" w:hAnsi="ˎ̥" w:eastAsia="仿宋_GB2312"/>
          <w:sz w:val="32"/>
          <w:szCs w:val="32"/>
        </w:rPr>
      </w:pPr>
      <w:r>
        <w:rPr>
          <w:rFonts w:hint="eastAsia" w:ascii="仿宋_GB2312" w:hAnsi="ˎ̥" w:eastAsia="仿宋_GB2312"/>
          <w:b/>
          <w:sz w:val="32"/>
          <w:szCs w:val="32"/>
        </w:rPr>
        <w:t>公务用车运行维护费</w:t>
      </w:r>
      <w:r>
        <w:rPr>
          <w:rFonts w:hint="eastAsia" w:ascii="仿宋_GB2312" w:hAnsi="ˎ̥" w:eastAsia="仿宋_GB2312"/>
          <w:sz w:val="32"/>
          <w:szCs w:val="32"/>
        </w:rPr>
        <w:t>支出0.00万元，</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bCs/>
          <w:sz w:val="32"/>
          <w:szCs w:val="32"/>
        </w:rPr>
        <w:t>公务用车购置及运行费支出决算数</w:t>
      </w:r>
      <w:r>
        <w:rPr>
          <w:rFonts w:hint="eastAsia" w:ascii="仿宋_GB2312" w:hAnsi="ˎ̥" w:eastAsia="仿宋_GB2312"/>
          <w:sz w:val="32"/>
          <w:szCs w:val="32"/>
        </w:rPr>
        <w:t>比预算数增加（减少）0万元，</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0" w:firstLineChars="200"/>
        <w:rPr>
          <w:rFonts w:ascii="仿宋_GB2312" w:hAnsi="ˎ̥" w:eastAsia="仿宋_GB2312"/>
          <w:bCs/>
          <w:sz w:val="32"/>
          <w:szCs w:val="32"/>
        </w:rPr>
      </w:pPr>
    </w:p>
    <w:p>
      <w:pPr>
        <w:shd w:val="clear" w:color="auto" w:fill="FFFFFF"/>
        <w:spacing w:before="100" w:beforeAutospacing="1" w:after="100" w:afterAutospacing="1"/>
        <w:rPr>
          <w:rFonts w:ascii="仿宋_GB2312" w:hAnsi="ˎ̥" w:eastAsia="仿宋_GB2312"/>
          <w:sz w:val="32"/>
          <w:szCs w:val="32"/>
        </w:rPr>
      </w:pPr>
      <w:r>
        <w:rPr>
          <w:rFonts w:hint="eastAsia" w:ascii="仿宋_GB2312" w:hAnsi="ˎ̥" w:eastAsia="仿宋_GB2312"/>
          <w:b/>
          <w:sz w:val="32"/>
          <w:szCs w:val="32"/>
        </w:rPr>
        <w:t xml:space="preserve">    3.公务接待费支出</w:t>
      </w:r>
      <w:r>
        <w:rPr>
          <w:rFonts w:hint="eastAsia" w:ascii="仿宋_GB2312" w:hAnsi="ˎ̥" w:eastAsia="仿宋_GB2312"/>
          <w:sz w:val="32"/>
          <w:szCs w:val="32"/>
        </w:rPr>
        <w:t>0.00万元，其中：</w:t>
      </w:r>
    </w:p>
    <w:p>
      <w:pPr>
        <w:shd w:val="clear" w:color="auto" w:fill="FFFFFF"/>
        <w:spacing w:before="100" w:beforeAutospacing="1" w:after="100" w:afterAutospacing="1"/>
        <w:ind w:firstLine="643" w:firstLineChars="200"/>
        <w:rPr>
          <w:rFonts w:ascii="仿宋_GB2312" w:hAnsi="ˎ̥" w:eastAsia="仿宋_GB2312"/>
          <w:sz w:val="32"/>
          <w:szCs w:val="32"/>
        </w:rPr>
      </w:pPr>
      <w:r>
        <w:rPr>
          <w:rFonts w:hint="eastAsia" w:ascii="仿宋_GB2312" w:hAnsi="ˎ̥" w:eastAsia="仿宋_GB2312"/>
          <w:b/>
          <w:sz w:val="32"/>
          <w:szCs w:val="32"/>
        </w:rPr>
        <w:t>国内接待费</w:t>
      </w:r>
      <w:r>
        <w:rPr>
          <w:rFonts w:hint="eastAsia" w:ascii="仿宋_GB2312" w:hAnsi="ˎ̥" w:eastAsia="仿宋_GB2312"/>
          <w:sz w:val="32"/>
          <w:szCs w:val="32"/>
        </w:rPr>
        <w:t>支出0万元，</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国（境）外接待费支出0万元，</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0" w:firstLineChars="200"/>
        <w:rPr>
          <w:rFonts w:ascii="仿宋_GB2312" w:hAnsi="ˎ̥" w:eastAsia="仿宋_GB2312"/>
          <w:sz w:val="32"/>
          <w:szCs w:val="32"/>
        </w:rPr>
      </w:pPr>
    </w:p>
    <w:p>
      <w:pPr>
        <w:shd w:val="clear" w:color="auto" w:fill="FFFFFF"/>
        <w:spacing w:before="100" w:beforeAutospacing="1" w:after="100" w:afterAutospacing="1"/>
        <w:ind w:firstLine="627" w:firstLineChars="196"/>
        <w:rPr>
          <w:rFonts w:ascii="仿宋_GB2312" w:hAnsi="ˎ̥" w:eastAsia="楷体_GB2312"/>
          <w:sz w:val="32"/>
          <w:szCs w:val="32"/>
        </w:rPr>
      </w:pPr>
      <w:r>
        <w:rPr>
          <w:rFonts w:hint="eastAsia" w:ascii="黑体" w:hAnsi="黑体" w:eastAsia="黑体" w:cs="黑体"/>
          <w:bCs/>
          <w:sz w:val="32"/>
          <w:szCs w:val="32"/>
        </w:rPr>
        <w:t>十、政府性基金预算财政拨款“三公”经费支出决算情况说明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年度政府性基金预算财政拨款“三公”经费支出合计0.00万元。其中：因公出国（境）费支出决算0.00万元，占0%；公务用车购置及运行费支出决算0.00万元，占0%；公务接待费支出决算0.00万元，占0%，</w:t>
      </w:r>
      <w:r>
        <w:rPr>
          <w:rFonts w:hint="eastAsia"/>
        </w:rPr>
        <w:t xml:space="preserve"> </w:t>
      </w:r>
      <w:r>
        <w:rPr>
          <w:rFonts w:hint="eastAsia" w:ascii="仿宋_GB2312" w:hAnsi="ˎ̥" w:eastAsia="仿宋_GB2312"/>
          <w:sz w:val="32"/>
          <w:szCs w:val="32"/>
        </w:rPr>
        <w:t>本年没有发生与该表相关的收支决算数据。</w:t>
      </w:r>
    </w:p>
    <w:p>
      <w:pPr>
        <w:spacing w:before="100" w:beforeAutospacing="1" w:after="100" w:afterAutospacing="1"/>
        <w:ind w:firstLine="640" w:firstLineChars="200"/>
        <w:rPr>
          <w:rFonts w:ascii="仿宋_GB2312" w:hAnsi="ˎ̥" w:eastAsia="楷体_GB2312"/>
          <w:sz w:val="32"/>
          <w:szCs w:val="32"/>
        </w:rPr>
      </w:pPr>
      <w:r>
        <w:rPr>
          <w:rFonts w:hint="eastAsia" w:ascii="黑体" w:hAnsi="黑体" w:eastAsia="黑体" w:cs="黑体"/>
          <w:bCs/>
          <w:sz w:val="32"/>
          <w:szCs w:val="32"/>
        </w:rPr>
        <w:t>十一、国有资本经营预算财政拨款“三公”经费支出决算情况说明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年度国有资本经营预算财政拨款“三公”经费支出合计0.00万元。其中：因公出国（境）费支出决算0.00万元，占0%；公务用车购置及运行费支出决算0.00万元，占0%；公务接待费支出决算0.00万元，占0%，</w:t>
      </w:r>
      <w:r>
        <w:rPr>
          <w:rFonts w:hint="eastAsia"/>
        </w:rPr>
        <w:t xml:space="preserve"> </w:t>
      </w:r>
      <w:r>
        <w:rPr>
          <w:rFonts w:hint="eastAsia" w:ascii="仿宋_GB2312" w:hAnsi="ˎ̥" w:eastAsia="仿宋_GB2312"/>
          <w:sz w:val="32"/>
          <w:szCs w:val="32"/>
        </w:rPr>
        <w:t>本年没有发生与该表相关的收支决算数据。</w:t>
      </w:r>
    </w:p>
    <w:p>
      <w:pPr>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（一）绩效管理工作开展情况。</w:t>
      </w:r>
    </w:p>
    <w:p>
      <w:pPr>
        <w:shd w:val="clear" w:color="auto" w:fill="FFFFFF"/>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根据财政预算绩效管理要求，我单位组织对202</w:t>
      </w:r>
      <w:r>
        <w:rPr>
          <w:rFonts w:hint="eastAsia" w:ascii="仿宋_GB2312" w:eastAsia="仿宋_GB2312"/>
          <w:sz w:val="32"/>
          <w:szCs w:val="32"/>
          <w:lang w:val="en-US" w:eastAsia="zh-CN"/>
        </w:rPr>
        <w:t>1</w:t>
      </w:r>
      <w:r>
        <w:rPr>
          <w:rFonts w:hint="eastAsia" w:ascii="仿宋_GB2312" w:eastAsia="仿宋_GB2312"/>
          <w:sz w:val="32"/>
          <w:szCs w:val="32"/>
        </w:rPr>
        <w:t>年度一般公共预算项目支出全面开展绩效自评。自评项目1</w:t>
      </w:r>
      <w:r>
        <w:rPr>
          <w:rStyle w:val="8"/>
          <w:rFonts w:hint="eastAsia" w:ascii="仿宋_GB2312" w:eastAsia="仿宋_GB2312"/>
          <w:sz w:val="32"/>
          <w:szCs w:val="32"/>
        </w:rPr>
        <w:t>个</w:t>
      </w:r>
      <w:r>
        <w:rPr>
          <w:rFonts w:hint="eastAsia" w:ascii="仿宋_GB2312" w:eastAsia="仿宋_GB2312"/>
          <w:sz w:val="32"/>
          <w:szCs w:val="32"/>
        </w:rPr>
        <w:t>，共涉及资金</w:t>
      </w:r>
      <w:r>
        <w:rPr>
          <w:rFonts w:hint="eastAsia" w:ascii="仿宋_GB2312" w:eastAsia="仿宋_GB2312"/>
          <w:sz w:val="32"/>
          <w:szCs w:val="32"/>
          <w:lang w:val="en-US" w:eastAsia="zh-CN"/>
        </w:rPr>
        <w:t>454.45</w:t>
      </w:r>
      <w:r>
        <w:rPr>
          <w:rFonts w:hint="eastAsia" w:ascii="仿宋_GB2312" w:eastAsia="仿宋_GB2312"/>
          <w:sz w:val="32"/>
          <w:szCs w:val="32"/>
        </w:rPr>
        <w:t>万元，自评覆盖率达到100%。</w:t>
      </w:r>
    </w:p>
    <w:p>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共组织对</w:t>
      </w:r>
      <w:r>
        <w:rPr>
          <w:rFonts w:hint="eastAsia" w:ascii="仿宋" w:hAnsi="仿宋" w:eastAsia="仿宋"/>
          <w:bCs/>
          <w:sz w:val="32"/>
          <w:szCs w:val="32"/>
        </w:rPr>
        <w:t>森林生态效益补偿基金</w:t>
      </w:r>
      <w:r>
        <w:rPr>
          <w:rFonts w:hint="eastAsia" w:ascii="仿宋_GB2312" w:eastAsia="仿宋_GB2312"/>
          <w:sz w:val="32"/>
          <w:szCs w:val="32"/>
        </w:rPr>
        <w:t>项目开展了部门评价，涉及资金</w:t>
      </w:r>
      <w:r>
        <w:rPr>
          <w:rFonts w:hint="eastAsia" w:ascii="仿宋_GB2312" w:eastAsia="仿宋_GB2312"/>
          <w:sz w:val="32"/>
          <w:szCs w:val="32"/>
          <w:lang w:val="en-US" w:eastAsia="zh-CN"/>
        </w:rPr>
        <w:t>454.45</w:t>
      </w:r>
      <w:r>
        <w:rPr>
          <w:rFonts w:hint="eastAsia" w:ascii="仿宋_GB2312" w:eastAsia="仿宋_GB2312"/>
          <w:sz w:val="32"/>
          <w:szCs w:val="32"/>
        </w:rPr>
        <w:t>万元。从评价情况来看，</w:t>
      </w:r>
      <w:r>
        <w:rPr>
          <w:rFonts w:hint="eastAsia" w:ascii="仿宋" w:hAnsi="仿宋" w:eastAsia="仿宋"/>
          <w:sz w:val="32"/>
          <w:szCs w:val="32"/>
        </w:rPr>
        <w:t>一是项目支出控制在预算范围内；二是项目按时按质按量完成，项目绩效目标达标率为100%</w:t>
      </w:r>
      <w:r>
        <w:rPr>
          <w:rFonts w:hint="eastAsia" w:ascii="仿宋_GB2312" w:eastAsia="仿宋_GB2312"/>
          <w:sz w:val="32"/>
          <w:szCs w:val="32"/>
        </w:rPr>
        <w:t>。</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（二）部门决算</w:t>
      </w:r>
      <w:r>
        <w:rPr>
          <w:rStyle w:val="8"/>
          <w:rFonts w:hint="eastAsia" w:ascii="楷体" w:hAnsi="楷体" w:eastAsia="楷体" w:cs="楷体"/>
          <w:b/>
          <w:sz w:val="32"/>
          <w:szCs w:val="32"/>
        </w:rPr>
        <w:t>中项目</w:t>
      </w:r>
      <w:r>
        <w:rPr>
          <w:rFonts w:hint="eastAsia" w:ascii="楷体" w:hAnsi="楷体" w:eastAsia="楷体" w:cs="楷体"/>
          <w:b/>
          <w:sz w:val="32"/>
          <w:szCs w:val="32"/>
        </w:rPr>
        <w:t>绩效自评结果（如有）</w:t>
      </w:r>
    </w:p>
    <w:p>
      <w:pPr>
        <w:ind w:firstLine="640" w:firstLineChars="200"/>
        <w:rPr>
          <w:rFonts w:ascii="仿宋" w:hAnsi="仿宋" w:eastAsia="仿宋"/>
          <w:sz w:val="32"/>
          <w:szCs w:val="32"/>
        </w:rPr>
      </w:pPr>
      <w:r>
        <w:rPr>
          <w:rFonts w:hint="eastAsia" w:ascii="仿宋" w:hAnsi="仿宋" w:eastAsia="仿宋"/>
          <w:sz w:val="32"/>
          <w:szCs w:val="32"/>
        </w:rPr>
        <w:t>生态公益林管护项目绩效自评综述：根据年初设定的绩效目标，项目自评得分为96分。全年预算数为</w:t>
      </w:r>
      <w:r>
        <w:rPr>
          <w:rFonts w:hint="eastAsia" w:ascii="仿宋" w:hAnsi="仿宋" w:eastAsia="仿宋"/>
          <w:sz w:val="32"/>
          <w:szCs w:val="32"/>
          <w:lang w:val="en-US" w:eastAsia="zh-CN"/>
        </w:rPr>
        <w:t>454.45</w:t>
      </w:r>
      <w:r>
        <w:rPr>
          <w:rFonts w:hint="eastAsia" w:ascii="仿宋" w:hAnsi="仿宋" w:eastAsia="仿宋"/>
          <w:sz w:val="32"/>
          <w:szCs w:val="32"/>
        </w:rPr>
        <w:t>万元，执行数为</w:t>
      </w:r>
      <w:r>
        <w:rPr>
          <w:rFonts w:hint="eastAsia" w:ascii="仿宋" w:hAnsi="仿宋" w:eastAsia="仿宋"/>
          <w:sz w:val="32"/>
          <w:szCs w:val="32"/>
          <w:lang w:val="en-US" w:eastAsia="zh-CN"/>
        </w:rPr>
        <w:t>454.45</w:t>
      </w:r>
      <w:r>
        <w:rPr>
          <w:rFonts w:hint="eastAsia" w:ascii="仿宋" w:hAnsi="仿宋" w:eastAsia="仿宋"/>
          <w:sz w:val="32"/>
          <w:szCs w:val="32"/>
        </w:rPr>
        <w:t>万元，完成预算的</w:t>
      </w:r>
      <w:r>
        <w:rPr>
          <w:rFonts w:hint="eastAsia" w:ascii="仿宋" w:hAnsi="仿宋" w:eastAsia="仿宋"/>
          <w:sz w:val="32"/>
          <w:szCs w:val="32"/>
          <w:lang w:val="en-US" w:eastAsia="zh-CN"/>
        </w:rPr>
        <w:t>100</w:t>
      </w:r>
      <w:r>
        <w:rPr>
          <w:rFonts w:hint="eastAsia" w:ascii="仿宋" w:hAnsi="仿宋" w:eastAsia="仿宋"/>
          <w:sz w:val="32"/>
          <w:szCs w:val="32"/>
        </w:rPr>
        <w:t>%。项目绩效目标完成情况：一是本项目批复财政资金</w:t>
      </w:r>
      <w:r>
        <w:rPr>
          <w:rFonts w:hint="eastAsia" w:ascii="仿宋" w:hAnsi="仿宋" w:eastAsia="仿宋"/>
          <w:sz w:val="32"/>
          <w:szCs w:val="32"/>
          <w:lang w:val="en-US" w:eastAsia="zh-CN"/>
        </w:rPr>
        <w:t>454.45</w:t>
      </w:r>
      <w:r>
        <w:rPr>
          <w:rFonts w:hint="eastAsia" w:ascii="仿宋" w:hAnsi="仿宋" w:eastAsia="仿宋"/>
          <w:sz w:val="32"/>
          <w:szCs w:val="32"/>
        </w:rPr>
        <w:t>万元，项目实施按照预算控制支出；二是制定的各项绩效指标产出达到预期。发现的主要问题及原因：一是绩效目标完成率</w:t>
      </w:r>
      <w:r>
        <w:rPr>
          <w:rFonts w:hint="eastAsia" w:ascii="仿宋" w:hAnsi="仿宋" w:eastAsia="仿宋"/>
          <w:sz w:val="32"/>
          <w:szCs w:val="32"/>
          <w:lang w:val="en-US" w:eastAsia="zh-CN"/>
        </w:rPr>
        <w:t>100</w:t>
      </w:r>
      <w:r>
        <w:rPr>
          <w:rFonts w:hint="eastAsia" w:ascii="仿宋" w:hAnsi="仿宋" w:eastAsia="仿宋"/>
          <w:sz w:val="32"/>
          <w:szCs w:val="32"/>
        </w:rPr>
        <w:t>%，能按100%完成。下一步改进措施：进一步优化绩效目标，确保绩效目标完成100%。</w:t>
      </w:r>
    </w:p>
    <w:p>
      <w:pPr>
        <w:ind w:firstLine="640" w:firstLineChars="200"/>
        <w:rPr>
          <w:rFonts w:ascii="仿宋" w:hAnsi="仿宋" w:eastAsia="仿宋"/>
          <w:sz w:val="32"/>
          <w:szCs w:val="32"/>
        </w:rPr>
      </w:pPr>
      <w:r>
        <w:rPr>
          <w:rFonts w:hint="eastAsia" w:ascii="仿宋" w:hAnsi="仿宋" w:eastAsia="仿宋"/>
          <w:sz w:val="32"/>
          <w:szCs w:val="32"/>
        </w:rPr>
        <w:t>项目完成后生态管护区域生态环境得到明显改善，林地涵养水源、保持水土能力不断增强，自然灾害发生率和强度得到一定程度控制；实行生态效益补偿保障林农的收益权，调动了林农爱林护林的积极性，促进林区的发展；严格的公益林管护，有效的保护了森林资源，提高了森林质量，森林资源的增长，生态功能的提升，生态效益补偿和公益林管护在其中发挥了重要作用。</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（三）财政评价项目绩效评价结果（如有）</w:t>
      </w:r>
    </w:p>
    <w:p>
      <w:pPr>
        <w:shd w:val="clear" w:color="auto" w:fill="FFFFFF"/>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根据财政预算绩效管理要求，我单位组织对202</w:t>
      </w:r>
      <w:r>
        <w:rPr>
          <w:rFonts w:hint="eastAsia" w:ascii="仿宋_GB2312" w:eastAsia="仿宋_GB2312"/>
          <w:sz w:val="32"/>
          <w:szCs w:val="32"/>
          <w:lang w:val="en-US" w:eastAsia="zh-CN"/>
        </w:rPr>
        <w:t>1</w:t>
      </w:r>
      <w:r>
        <w:rPr>
          <w:rFonts w:hint="eastAsia" w:ascii="仿宋_GB2312" w:eastAsia="仿宋_GB2312"/>
          <w:sz w:val="32"/>
          <w:szCs w:val="32"/>
        </w:rPr>
        <w:t>年度一般公共预算项目支出全面开展绩效自评。自评项目1</w:t>
      </w:r>
      <w:r>
        <w:rPr>
          <w:rStyle w:val="8"/>
          <w:rFonts w:hint="eastAsia" w:ascii="仿宋_GB2312" w:eastAsia="仿宋_GB2312"/>
          <w:sz w:val="32"/>
          <w:szCs w:val="32"/>
        </w:rPr>
        <w:t>个</w:t>
      </w:r>
      <w:r>
        <w:rPr>
          <w:rFonts w:hint="eastAsia" w:ascii="仿宋_GB2312" w:eastAsia="仿宋_GB2312"/>
          <w:sz w:val="32"/>
          <w:szCs w:val="32"/>
        </w:rPr>
        <w:t>，共涉及资金</w:t>
      </w:r>
      <w:r>
        <w:rPr>
          <w:rFonts w:hint="eastAsia" w:ascii="仿宋_GB2312" w:eastAsia="仿宋_GB2312"/>
          <w:sz w:val="32"/>
          <w:szCs w:val="32"/>
          <w:lang w:val="en-US" w:eastAsia="zh-CN"/>
        </w:rPr>
        <w:t>454.45</w:t>
      </w:r>
      <w:r>
        <w:rPr>
          <w:rFonts w:hint="eastAsia" w:ascii="仿宋_GB2312" w:eastAsia="仿宋_GB2312"/>
          <w:sz w:val="32"/>
          <w:szCs w:val="32"/>
        </w:rPr>
        <w:t>万元，自评覆盖率达到100%。</w:t>
      </w:r>
    </w:p>
    <w:p>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共组织对</w:t>
      </w:r>
      <w:r>
        <w:rPr>
          <w:rFonts w:hint="eastAsia" w:ascii="仿宋" w:hAnsi="仿宋" w:eastAsia="仿宋"/>
          <w:bCs/>
          <w:sz w:val="32"/>
          <w:szCs w:val="32"/>
        </w:rPr>
        <w:t>森林生态效益补偿基金</w:t>
      </w:r>
      <w:r>
        <w:rPr>
          <w:rFonts w:hint="eastAsia" w:ascii="仿宋_GB2312" w:eastAsia="仿宋_GB2312"/>
          <w:sz w:val="32"/>
          <w:szCs w:val="32"/>
        </w:rPr>
        <w:t>项目开展了部门评价，涉及资金</w:t>
      </w:r>
      <w:r>
        <w:rPr>
          <w:rFonts w:hint="eastAsia" w:ascii="仿宋_GB2312" w:eastAsia="仿宋_GB2312"/>
          <w:sz w:val="32"/>
          <w:szCs w:val="32"/>
          <w:lang w:val="en-US" w:eastAsia="zh-CN"/>
        </w:rPr>
        <w:t>454.45</w:t>
      </w:r>
      <w:r>
        <w:rPr>
          <w:rFonts w:hint="eastAsia" w:ascii="仿宋_GB2312" w:eastAsia="仿宋_GB2312"/>
          <w:sz w:val="32"/>
          <w:szCs w:val="32"/>
        </w:rPr>
        <w:t>万元。从评价情况来看，</w:t>
      </w:r>
      <w:r>
        <w:rPr>
          <w:rFonts w:hint="eastAsia" w:ascii="仿宋" w:hAnsi="仿宋" w:eastAsia="仿宋"/>
          <w:sz w:val="32"/>
          <w:szCs w:val="32"/>
        </w:rPr>
        <w:t>一是项目支出控制在预算范围内；二是项目按时按质按量完成，项目绩效目标达标率为100%</w:t>
      </w:r>
      <w:r>
        <w:rPr>
          <w:rFonts w:hint="eastAsia" w:ascii="仿宋_GB2312" w:eastAsia="仿宋_GB2312"/>
          <w:sz w:val="32"/>
          <w:szCs w:val="32"/>
        </w:rPr>
        <w:t>。</w:t>
      </w:r>
    </w:p>
    <w:p>
      <w:pPr>
        <w:shd w:val="clear" w:color="auto" w:fill="FFFFFF"/>
        <w:spacing w:before="100" w:beforeAutospacing="1" w:after="100" w:afterAutospacing="1" w:line="578" w:lineRule="exact"/>
        <w:ind w:firstLine="640" w:firstLineChars="200"/>
        <w:rPr>
          <w:rFonts w:ascii="仿宋" w:hAnsi="仿宋" w:eastAsia="仿宋" w:cs="楷体"/>
          <w:bCs/>
          <w:sz w:val="32"/>
          <w:szCs w:val="32"/>
        </w:rPr>
      </w:pP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（四）部门评价项目绩效评价结果。</w:t>
      </w:r>
    </w:p>
    <w:p>
      <w:pPr>
        <w:shd w:val="clear" w:color="auto" w:fill="FFFFFF"/>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根据财政预算绩效管理要求，我单位组织对202</w:t>
      </w:r>
      <w:r>
        <w:rPr>
          <w:rFonts w:hint="eastAsia" w:ascii="仿宋_GB2312" w:eastAsia="仿宋_GB2312"/>
          <w:sz w:val="32"/>
          <w:szCs w:val="32"/>
          <w:lang w:val="en-US" w:eastAsia="zh-CN"/>
        </w:rPr>
        <w:t>1</w:t>
      </w:r>
      <w:r>
        <w:rPr>
          <w:rFonts w:hint="eastAsia" w:ascii="仿宋_GB2312" w:eastAsia="仿宋_GB2312"/>
          <w:sz w:val="32"/>
          <w:szCs w:val="32"/>
        </w:rPr>
        <w:t>年度一般公共预算项目支出全面开展绩效自评。自评项目1</w:t>
      </w:r>
      <w:r>
        <w:rPr>
          <w:rStyle w:val="8"/>
          <w:rFonts w:hint="eastAsia" w:ascii="仿宋_GB2312" w:eastAsia="仿宋_GB2312"/>
          <w:sz w:val="32"/>
          <w:szCs w:val="32"/>
        </w:rPr>
        <w:t>个</w:t>
      </w:r>
      <w:r>
        <w:rPr>
          <w:rFonts w:hint="eastAsia" w:ascii="仿宋_GB2312" w:eastAsia="仿宋_GB2312"/>
          <w:sz w:val="32"/>
          <w:szCs w:val="32"/>
        </w:rPr>
        <w:t>，共涉及资金</w:t>
      </w:r>
      <w:r>
        <w:rPr>
          <w:rFonts w:hint="eastAsia" w:ascii="仿宋_GB2312" w:eastAsia="仿宋_GB2312"/>
          <w:sz w:val="32"/>
          <w:szCs w:val="32"/>
          <w:lang w:val="en-US" w:eastAsia="zh-CN"/>
        </w:rPr>
        <w:t>454.45</w:t>
      </w:r>
      <w:r>
        <w:rPr>
          <w:rFonts w:hint="eastAsia" w:ascii="仿宋_GB2312" w:eastAsia="仿宋_GB2312"/>
          <w:sz w:val="32"/>
          <w:szCs w:val="32"/>
        </w:rPr>
        <w:t>万元，自评覆盖率达到100%。</w:t>
      </w:r>
    </w:p>
    <w:p>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共组织对</w:t>
      </w:r>
      <w:r>
        <w:rPr>
          <w:rFonts w:hint="eastAsia" w:ascii="仿宋" w:hAnsi="仿宋" w:eastAsia="仿宋"/>
          <w:bCs/>
          <w:sz w:val="32"/>
          <w:szCs w:val="32"/>
        </w:rPr>
        <w:t>森林生态效益补偿基金</w:t>
      </w:r>
      <w:r>
        <w:rPr>
          <w:rFonts w:hint="eastAsia" w:ascii="仿宋_GB2312" w:eastAsia="仿宋_GB2312"/>
          <w:sz w:val="32"/>
          <w:szCs w:val="32"/>
        </w:rPr>
        <w:t>项目开展了部门评价，涉及资金</w:t>
      </w:r>
      <w:r>
        <w:rPr>
          <w:rFonts w:hint="eastAsia" w:ascii="仿宋_GB2312" w:eastAsia="仿宋_GB2312"/>
          <w:sz w:val="32"/>
          <w:szCs w:val="32"/>
          <w:lang w:val="en-US" w:eastAsia="zh-CN"/>
        </w:rPr>
        <w:t>454.45</w:t>
      </w:r>
      <w:r>
        <w:rPr>
          <w:rFonts w:hint="eastAsia" w:ascii="仿宋_GB2312" w:eastAsia="仿宋_GB2312"/>
          <w:sz w:val="32"/>
          <w:szCs w:val="32"/>
        </w:rPr>
        <w:t>万元。从评价情况来看，</w:t>
      </w:r>
      <w:r>
        <w:rPr>
          <w:rFonts w:hint="eastAsia" w:ascii="仿宋" w:hAnsi="仿宋" w:eastAsia="仿宋"/>
          <w:sz w:val="32"/>
          <w:szCs w:val="32"/>
        </w:rPr>
        <w:t>一是项目支出控制在预算范围内；二是项目按时按质按量完成，项目绩效目标达标率为100%</w:t>
      </w:r>
      <w:r>
        <w:rPr>
          <w:rFonts w:hint="eastAsia" w:ascii="仿宋_GB2312" w:eastAsia="仿宋_GB2312"/>
          <w:sz w:val="32"/>
          <w:szCs w:val="32"/>
        </w:rPr>
        <w:t>。</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pPr>
        <w:shd w:val="clear" w:color="auto" w:fill="FFFFFF"/>
        <w:spacing w:before="100" w:beforeAutospacing="1" w:after="100" w:afterAutospacing="1"/>
        <w:ind w:firstLine="643" w:firstLineChars="200"/>
        <w:rPr>
          <w:rFonts w:ascii="楷体" w:hAnsi="楷体" w:eastAsia="楷体" w:cs="楷体"/>
          <w:b/>
          <w:sz w:val="32"/>
          <w:szCs w:val="32"/>
        </w:rPr>
      </w:pPr>
      <w:bookmarkStart w:id="95" w:name="_Toc23598_WPSOffice_Level2"/>
      <w:bookmarkStart w:id="96" w:name="_Toc5978_WPSOffice_Level2"/>
      <w:bookmarkStart w:id="97" w:name="_Toc32639_WPSOffice_Level2"/>
      <w:bookmarkStart w:id="98" w:name="_Toc15565_WPSOffice_Level2"/>
      <w:bookmarkStart w:id="99" w:name="_Toc15262_WPSOffice_Level2"/>
      <w:bookmarkStart w:id="100" w:name="_Toc18325_WPSOffice_Level2"/>
      <w:r>
        <w:rPr>
          <w:rFonts w:hint="eastAsia" w:ascii="楷体" w:hAnsi="楷体" w:eastAsia="楷体" w:cs="楷体"/>
          <w:b/>
          <w:sz w:val="32"/>
          <w:szCs w:val="32"/>
        </w:rPr>
        <w:t>（一）机关运行经费支出情况。</w:t>
      </w:r>
      <w:bookmarkEnd w:id="95"/>
      <w:bookmarkEnd w:id="96"/>
      <w:bookmarkEnd w:id="97"/>
      <w:bookmarkEnd w:id="98"/>
      <w:bookmarkEnd w:id="99"/>
      <w:bookmarkEnd w:id="100"/>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年度海南尖岭省级自然保护区管理站机关运行经费0万元</w:t>
      </w:r>
      <w:bookmarkStart w:id="101" w:name="_Toc23966_WPSOffice_Level2"/>
      <w:bookmarkStart w:id="102" w:name="_Toc3131_WPSOffice_Level2"/>
      <w:bookmarkStart w:id="103" w:name="_Toc13084_WPSOffice_Level2"/>
      <w:bookmarkStart w:id="104" w:name="_Toc25333_WPSOffice_Level2"/>
      <w:bookmarkStart w:id="105" w:name="_Toc30383_WPSOffice_Level2"/>
      <w:bookmarkStart w:id="106" w:name="_Toc32689_WPSOffice_Level2"/>
      <w:r>
        <w:rPr>
          <w:rFonts w:hint="eastAsia" w:ascii="仿宋_GB2312" w:hAnsi="ˎ̥" w:eastAsia="仿宋_GB2312"/>
          <w:sz w:val="32"/>
          <w:szCs w:val="32"/>
        </w:rPr>
        <w:t>，</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3" w:firstLineChars="200"/>
        <w:rPr>
          <w:rFonts w:ascii="楷体" w:hAnsi="楷体" w:eastAsia="楷体" w:cs="楷体"/>
          <w:b/>
          <w:sz w:val="32"/>
          <w:szCs w:val="32"/>
        </w:rPr>
      </w:pPr>
      <w:r>
        <w:rPr>
          <w:rFonts w:hint="eastAsia" w:ascii="楷体" w:hAnsi="楷体" w:eastAsia="楷体" w:cs="楷体"/>
          <w:b/>
          <w:sz w:val="32"/>
          <w:szCs w:val="32"/>
        </w:rPr>
        <w:t>（二）政府采购支出情况。</w:t>
      </w:r>
      <w:bookmarkEnd w:id="101"/>
      <w:bookmarkEnd w:id="102"/>
      <w:bookmarkEnd w:id="103"/>
      <w:bookmarkEnd w:id="104"/>
      <w:bookmarkEnd w:id="105"/>
      <w:bookmarkEnd w:id="106"/>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海南尖岭省级自然保护区管理站政府采购支出总额0万元，其中：政府采购货物支出0万元、政府采购工程支出0万元、政府采购服务支出0万元。授予中小企业合同金额0万元，占政府采购支出总额的0%，其中：授予小</w:t>
      </w:r>
      <w:r>
        <w:rPr>
          <w:rStyle w:val="8"/>
          <w:rFonts w:hint="eastAsia" w:ascii="仿宋_GB2312" w:hAnsi="ˎ̥" w:eastAsia="仿宋_GB2312"/>
          <w:sz w:val="32"/>
          <w:szCs w:val="32"/>
        </w:rPr>
        <w:t>微企业</w:t>
      </w:r>
      <w:r>
        <w:rPr>
          <w:rFonts w:hint="eastAsia" w:ascii="仿宋_GB2312" w:hAnsi="ˎ̥" w:eastAsia="仿宋_GB2312"/>
          <w:sz w:val="32"/>
          <w:szCs w:val="32"/>
        </w:rPr>
        <w:t>合同金额0万元，占政府采购支出总额的0%</w:t>
      </w:r>
      <w:bookmarkStart w:id="107" w:name="_Toc6016_WPSOffice_Level2"/>
      <w:bookmarkStart w:id="108" w:name="_Toc19989_WPSOffice_Level2"/>
      <w:bookmarkStart w:id="109" w:name="_Toc29584_WPSOffice_Level2"/>
      <w:bookmarkStart w:id="110" w:name="_Toc10902_WPSOffice_Level2"/>
      <w:bookmarkStart w:id="111" w:name="_Toc15129_WPSOffice_Level2"/>
      <w:bookmarkStart w:id="112" w:name="_Toc527_WPSOffice_Level2"/>
      <w:r>
        <w:rPr>
          <w:rFonts w:hint="eastAsia" w:ascii="仿宋_GB2312" w:hAnsi="ˎ̥" w:eastAsia="仿宋_GB2312"/>
          <w:sz w:val="32"/>
          <w:szCs w:val="32"/>
        </w:rPr>
        <w:t>，</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ind w:firstLine="643" w:firstLineChars="200"/>
        <w:rPr>
          <w:rFonts w:ascii="楷体" w:hAnsi="楷体" w:eastAsia="楷体" w:cs="楷体"/>
          <w:b/>
          <w:sz w:val="32"/>
          <w:szCs w:val="32"/>
        </w:rPr>
      </w:pPr>
      <w:r>
        <w:rPr>
          <w:rFonts w:hint="eastAsia" w:ascii="楷体" w:hAnsi="楷体" w:eastAsia="楷体" w:cs="楷体"/>
          <w:b/>
          <w:sz w:val="32"/>
          <w:szCs w:val="32"/>
        </w:rPr>
        <w:t>（三）国有资产占用情况。</w:t>
      </w:r>
      <w:bookmarkEnd w:id="107"/>
      <w:bookmarkEnd w:id="108"/>
      <w:bookmarkEnd w:id="109"/>
      <w:bookmarkEnd w:id="110"/>
      <w:bookmarkEnd w:id="111"/>
      <w:bookmarkEnd w:id="112"/>
    </w:p>
    <w:p>
      <w:pPr>
        <w:shd w:val="clear" w:color="auto" w:fill="FFFFFF"/>
        <w:spacing w:before="100" w:beforeAutospacing="1" w:after="100" w:afterAutospacing="1" w:line="578" w:lineRule="exact"/>
        <w:ind w:firstLine="640" w:firstLineChars="200"/>
        <w:rPr>
          <w:rFonts w:ascii="仿宋_GB2312" w:hAnsi="ˎ̥" w:eastAsia="仿宋_GB2312"/>
          <w:sz w:val="32"/>
          <w:szCs w:val="32"/>
        </w:rPr>
      </w:pPr>
      <w:r>
        <w:rPr>
          <w:rFonts w:hint="eastAsia" w:ascii="仿宋_GB2312" w:hAnsi="ˎ̥" w:eastAsia="仿宋_GB2312"/>
          <w:sz w:val="32"/>
          <w:szCs w:val="32"/>
        </w:rPr>
        <w:t>截至202</w:t>
      </w:r>
      <w:r>
        <w:rPr>
          <w:rFonts w:hint="eastAsia" w:ascii="仿宋_GB2312" w:hAnsi="ˎ̥" w:eastAsia="仿宋_GB2312"/>
          <w:sz w:val="32"/>
          <w:szCs w:val="32"/>
          <w:lang w:val="en-US" w:eastAsia="zh-CN"/>
        </w:rPr>
        <w:t>1</w:t>
      </w:r>
      <w:r>
        <w:rPr>
          <w:rFonts w:hint="eastAsia" w:ascii="仿宋_GB2312" w:hAnsi="ˎ̥" w:eastAsia="仿宋_GB2312"/>
          <w:sz w:val="32"/>
          <w:szCs w:val="32"/>
        </w:rPr>
        <w:t>年12月31日，本部门占用房屋面积1420.7平方米，其中：办公用房662平方米，业务用房758.7平方米。</w:t>
      </w:r>
    </w:p>
    <w:p>
      <w:pPr>
        <w:shd w:val="clear" w:color="auto" w:fill="FFFFFF"/>
        <w:spacing w:before="100" w:beforeAutospacing="1" w:after="100" w:afterAutospacing="1" w:line="578" w:lineRule="exact"/>
        <w:ind w:firstLine="640" w:firstLineChars="200"/>
        <w:rPr>
          <w:rFonts w:ascii="仿宋_GB2312" w:hAnsi="ˎ̥" w:eastAsia="仿宋_GB2312"/>
          <w:sz w:val="32"/>
          <w:szCs w:val="32"/>
        </w:rPr>
      </w:pPr>
      <w:r>
        <w:rPr>
          <w:rFonts w:hint="eastAsia" w:ascii="仿宋_GB2312" w:hAnsi="ˎ̥" w:eastAsia="仿宋_GB2312"/>
          <w:sz w:val="32"/>
          <w:szCs w:val="32"/>
        </w:rPr>
        <w:t>本部门共有车辆1辆，其中：其他用车1辆。</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单位价值50万元（含）以上通用设备0台（套），单价100万元（含）以上专用设备0台（套），</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line="578" w:lineRule="exact"/>
        <w:ind w:firstLine="640" w:firstLineChars="200"/>
        <w:rPr>
          <w:rFonts w:ascii="仿宋_GB2312" w:hAnsi="ˎ̥" w:eastAsia="仿宋_GB2312"/>
          <w:sz w:val="32"/>
          <w:szCs w:val="32"/>
        </w:rPr>
      </w:pP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年末在建工程0万元，</w:t>
      </w:r>
      <w:r>
        <w:rPr>
          <w:rFonts w:hint="eastAsia"/>
        </w:rPr>
        <w:t xml:space="preserve"> </w:t>
      </w:r>
      <w:r>
        <w:rPr>
          <w:rFonts w:hint="eastAsia" w:ascii="仿宋_GB2312" w:hAnsi="ˎ̥" w:eastAsia="仿宋_GB2312"/>
          <w:sz w:val="32"/>
          <w:szCs w:val="32"/>
        </w:rPr>
        <w:t>本年没有发生与该表相关的收支决算数据。</w:t>
      </w:r>
    </w:p>
    <w:p>
      <w:pPr>
        <w:shd w:val="clear" w:color="auto" w:fill="FFFFFF"/>
        <w:spacing w:before="100" w:beforeAutospacing="1" w:after="100" w:afterAutospacing="1" w:line="578" w:lineRule="exact"/>
        <w:ind w:firstLine="640" w:firstLineChars="200"/>
        <w:rPr>
          <w:rFonts w:ascii="仿宋_GB2312" w:hAnsi="ˎ̥" w:eastAsia="仿宋_GB2312"/>
          <w:sz w:val="32"/>
          <w:szCs w:val="32"/>
        </w:rPr>
      </w:pPr>
    </w:p>
    <w:p>
      <w:pPr>
        <w:shd w:val="clear" w:color="auto" w:fill="FFFFFF"/>
        <w:spacing w:before="100" w:beforeAutospacing="1" w:after="100" w:afterAutospacing="1"/>
        <w:jc w:val="center"/>
        <w:rPr>
          <w:rFonts w:ascii="黑体" w:hAnsi="ˎ̥" w:eastAsia="黑体"/>
          <w:sz w:val="32"/>
          <w:szCs w:val="32"/>
        </w:rPr>
      </w:pPr>
      <w:bookmarkStart w:id="113" w:name="_Toc15425_WPSOffice_Level1"/>
      <w:bookmarkStart w:id="114" w:name="_Toc17580_WPSOffice_Level1"/>
      <w:bookmarkStart w:id="115" w:name="_Toc8808_WPSOffice_Level1"/>
      <w:bookmarkStart w:id="116" w:name="_Toc11039_WPSOffice_Level1"/>
      <w:bookmarkStart w:id="117" w:name="_Toc8874_WPSOffice_Level1"/>
      <w:bookmarkStart w:id="118" w:name="_Toc4398_WPSOffice_Level1"/>
      <w:r>
        <w:rPr>
          <w:rFonts w:hint="eastAsia" w:ascii="黑体" w:hAnsi="ˎ̥" w:eastAsia="黑体"/>
          <w:sz w:val="32"/>
          <w:szCs w:val="32"/>
        </w:rPr>
        <w:t>第四部分  名词解释</w:t>
      </w:r>
      <w:bookmarkEnd w:id="113"/>
      <w:bookmarkEnd w:id="114"/>
      <w:bookmarkEnd w:id="115"/>
      <w:bookmarkEnd w:id="116"/>
      <w:bookmarkEnd w:id="117"/>
      <w:bookmarkEnd w:id="118"/>
    </w:p>
    <w:p>
      <w:pPr>
        <w:shd w:val="clear" w:color="auto" w:fill="FFFFFF"/>
        <w:spacing w:before="100" w:beforeAutospacing="1" w:after="100" w:afterAutospacing="1"/>
        <w:jc w:val="center"/>
        <w:rPr>
          <w:rFonts w:ascii="黑体" w:hAnsi="ˎ̥" w:eastAsia="黑体"/>
          <w:sz w:val="32"/>
          <w:szCs w:val="32"/>
        </w:rPr>
      </w:pP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一、财政拨款收入：指本级财政当年拨付的资金。</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二、事业收入：指事业单位开展专业业务活动及辅助活动取得的收入。</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三、经营收入：指事业单位在专业业务活动及其辅助活动之外开展非独立核算经营活动取得的收入。</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四、其他收入：指除上述“财政拨款收入”“事业收入”“经营收入”等以外的收入。</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五、使用非财政拨款结余：指事业单位按照预算管理要求使用非财政拨款结余弥补收支差额的金额。</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六、年初结转和结余：指以前年度尚未完成、结转到本年按有关规定继续使用的资金。</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七、结余分配：指事业单位按规定提取的职工福利基金、事业基金和缴纳的所得税，以及建设单位按规定应交回的基本建设竣工项目结余资金。</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八、年末结转和结余：指本年度或以前年度预算安排、因客观条件发生变化无法按原计划实施，需要延迟到以后年度按有关规定继续使用的资金。</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九、基本支出：指为保障机构正常运转、完成日常工作任务而发生的人员支出和公用支出。</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十、项目支出：指在基本支出之外为完成特定行政任务和事业发展目标所发生的支出。</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十一、经营支出：指事业单位在专业业务活动及其辅助活动之外开展非独立核算经营活动发生的支出。</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十二、“三公”经费：纳入本级财政预决算管理的“三公”经费，是指本级部门用一般公共预算</w:t>
      </w:r>
      <w:r>
        <w:rPr>
          <w:rStyle w:val="8"/>
          <w:rFonts w:hint="eastAsia" w:ascii="仿宋_GB2312" w:hAnsi="ˎ̥" w:eastAsia="仿宋_GB2312"/>
          <w:sz w:val="32"/>
          <w:szCs w:val="32"/>
        </w:rPr>
        <w:t>财政财政</w:t>
      </w:r>
      <w:r>
        <w:rPr>
          <w:rFonts w:hint="eastAsia" w:ascii="仿宋_GB2312" w:hAnsi="ˎ̥" w:eastAsia="仿宋_GB2312"/>
          <w:sz w:val="32"/>
          <w:szCs w:val="32"/>
        </w:rPr>
        <w:t>拨款安排的因公出国（境）费、公务用车购置及运行费和公务接待费。其中，因公出国（境）</w:t>
      </w:r>
      <w:r>
        <w:rPr>
          <w:rStyle w:val="8"/>
          <w:rFonts w:hint="eastAsia" w:ascii="仿宋_GB2312" w:hAnsi="ˎ̥" w:eastAsia="仿宋_GB2312"/>
          <w:sz w:val="32"/>
          <w:szCs w:val="32"/>
        </w:rPr>
        <w:t>费反映</w:t>
      </w:r>
      <w:r>
        <w:rPr>
          <w:rFonts w:hint="eastAsia" w:ascii="仿宋_GB2312" w:hAnsi="ˎ̥" w:eastAsia="仿宋_GB2312"/>
          <w:sz w:val="32"/>
          <w:szCs w:val="32"/>
        </w:rPr>
        <w:t>单位公务出国（境）的国际旅费、国外城市间交通费、住宿费、伙食费、培训费、公杂费等支出；公务用车购置及运行</w:t>
      </w:r>
      <w:r>
        <w:rPr>
          <w:rStyle w:val="8"/>
          <w:rFonts w:hint="eastAsia" w:ascii="仿宋_GB2312" w:hAnsi="ˎ̥" w:eastAsia="仿宋_GB2312"/>
          <w:sz w:val="32"/>
          <w:szCs w:val="32"/>
        </w:rPr>
        <w:t>费反映</w:t>
      </w:r>
      <w:r>
        <w:rPr>
          <w:rFonts w:hint="eastAsia" w:ascii="仿宋_GB2312" w:hAnsi="ˎ̥" w:eastAsia="仿宋_GB2312"/>
          <w:sz w:val="32"/>
          <w:szCs w:val="32"/>
        </w:rPr>
        <w:t>单位公务用车车辆购置支出（</w:t>
      </w:r>
      <w:r>
        <w:rPr>
          <w:rStyle w:val="8"/>
          <w:rFonts w:hint="eastAsia" w:ascii="仿宋_GB2312" w:hAnsi="ˎ̥" w:eastAsia="仿宋_GB2312"/>
          <w:sz w:val="32"/>
          <w:szCs w:val="32"/>
        </w:rPr>
        <w:t>含车辆</w:t>
      </w:r>
      <w:r>
        <w:rPr>
          <w:rFonts w:hint="eastAsia" w:ascii="仿宋_GB2312" w:hAnsi="ˎ̥" w:eastAsia="仿宋_GB2312"/>
          <w:sz w:val="32"/>
          <w:szCs w:val="32"/>
        </w:rPr>
        <w:t>购置税）及租用费、燃料费、维修费、过路过桥费、保险费、安全奖励费用等支出；公务接待</w:t>
      </w:r>
      <w:r>
        <w:rPr>
          <w:rStyle w:val="8"/>
          <w:rFonts w:hint="eastAsia" w:ascii="仿宋_GB2312" w:hAnsi="ˎ̥" w:eastAsia="仿宋_GB2312"/>
          <w:sz w:val="32"/>
          <w:szCs w:val="32"/>
        </w:rPr>
        <w:t>费反映</w:t>
      </w:r>
      <w:r>
        <w:rPr>
          <w:rFonts w:hint="eastAsia" w:ascii="仿宋_GB2312" w:hAnsi="ˎ̥" w:eastAsia="仿宋_GB2312"/>
          <w:sz w:val="32"/>
          <w:szCs w:val="32"/>
        </w:rPr>
        <w:t>单位按规定开支的各类公务接待（含外宾接待）支出。</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before="100" w:beforeAutospacing="1" w:after="100" w:afterAutospacing="1"/>
        <w:ind w:firstLine="645"/>
        <w:rPr>
          <w:rFonts w:ascii="仿宋_GB2312" w:hAnsi="ˎ̥" w:eastAsia="仿宋_GB2312"/>
          <w:sz w:val="32"/>
          <w:szCs w:val="32"/>
        </w:rPr>
      </w:pPr>
      <w:r>
        <w:rPr>
          <w:rFonts w:hint="eastAsia" w:ascii="仿宋_GB2312" w:hAnsi="ˎ̥" w:eastAsia="仿宋_GB2312"/>
          <w:sz w:val="32"/>
          <w:szCs w:val="32"/>
        </w:rPr>
        <w:t>十四、（支出功能分类的名词解释，各部门（单位）根据实际支出情况填列，可参阅财政部印发的《2019年政府收支分类科目》）</w:t>
      </w:r>
    </w:p>
    <w:p>
      <w:pPr>
        <w:spacing w:before="100" w:beforeAutospacing="1" w:after="100" w:afterAutospacing="1"/>
        <w:rPr>
          <w:rFonts w:ascii="仿宋_GB2312" w:hAnsi="ˎ̥" w:eastAsia="仿宋_GB2312"/>
          <w:sz w:val="32"/>
          <w:szCs w:val="32"/>
        </w:rPr>
      </w:pPr>
      <w:r>
        <w:rPr>
          <w:rFonts w:hint="eastAsia" w:ascii="仿宋_GB2312" w:hAnsi="ˎ̥" w:eastAsia="仿宋_GB2312"/>
          <w:sz w:val="32"/>
          <w:szCs w:val="32"/>
        </w:rPr>
        <w:t>附：海南尖岭省级自然保护区管理站202</w:t>
      </w:r>
      <w:r>
        <w:rPr>
          <w:rFonts w:hint="eastAsia" w:ascii="仿宋_GB2312" w:hAnsi="ˎ̥" w:eastAsia="仿宋_GB2312"/>
          <w:sz w:val="32"/>
          <w:szCs w:val="32"/>
          <w:lang w:val="en-US" w:eastAsia="zh-CN"/>
        </w:rPr>
        <w:t>1</w:t>
      </w:r>
      <w:r>
        <w:rPr>
          <w:rFonts w:hint="eastAsia" w:ascii="仿宋_GB2312" w:hAnsi="ˎ̥" w:eastAsia="仿宋_GB2312"/>
          <w:sz w:val="32"/>
          <w:szCs w:val="32"/>
        </w:rPr>
        <w:t>年度部门决算公开报表</w:t>
      </w:r>
    </w:p>
    <w:p>
      <w:pPr>
        <w:shd w:val="clear" w:color="auto" w:fill="FFFFFF"/>
        <w:spacing w:before="100" w:beforeAutospacing="1" w:after="100" w:afterAutospacing="1"/>
        <w:rPr>
          <w:rFonts w:ascii="仿宋_GB2312" w:hAnsi="ˎ̥" w:eastAsia="仿宋_GB2312"/>
          <w:sz w:val="32"/>
          <w:szCs w:val="32"/>
        </w:rPr>
      </w:pP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A3FE8"/>
    <w:multiLevelType w:val="multilevel"/>
    <w:tmpl w:val="55EA3FE8"/>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YzFlMzU2NzQ1OTAxMmU1OWU3NTFiMTQzYmQyODBhMmYifQ=="/>
  </w:docVars>
  <w:rsids>
    <w:rsidRoot w:val="007C0871"/>
    <w:rsid w:val="0000199D"/>
    <w:rsid w:val="00027501"/>
    <w:rsid w:val="00067FFE"/>
    <w:rsid w:val="00103A4B"/>
    <w:rsid w:val="001704C7"/>
    <w:rsid w:val="0026631D"/>
    <w:rsid w:val="00455F4D"/>
    <w:rsid w:val="00467E6A"/>
    <w:rsid w:val="00507431"/>
    <w:rsid w:val="00540946"/>
    <w:rsid w:val="00563580"/>
    <w:rsid w:val="005E1850"/>
    <w:rsid w:val="00647B4F"/>
    <w:rsid w:val="006D02A6"/>
    <w:rsid w:val="007637D4"/>
    <w:rsid w:val="00781D74"/>
    <w:rsid w:val="007B4FDA"/>
    <w:rsid w:val="007C0871"/>
    <w:rsid w:val="007D7D34"/>
    <w:rsid w:val="00883FA3"/>
    <w:rsid w:val="00A708E1"/>
    <w:rsid w:val="00AE275C"/>
    <w:rsid w:val="00AE361E"/>
    <w:rsid w:val="00B95DED"/>
    <w:rsid w:val="00BC12F3"/>
    <w:rsid w:val="00BC2507"/>
    <w:rsid w:val="00C347E6"/>
    <w:rsid w:val="00C53A64"/>
    <w:rsid w:val="00CB4538"/>
    <w:rsid w:val="00CB6579"/>
    <w:rsid w:val="00CB7DA9"/>
    <w:rsid w:val="00E036F9"/>
    <w:rsid w:val="00E75D61"/>
    <w:rsid w:val="00EB1B51"/>
    <w:rsid w:val="00F5142E"/>
    <w:rsid w:val="00FA3986"/>
    <w:rsid w:val="00FA7828"/>
    <w:rsid w:val="00FC76B5"/>
    <w:rsid w:val="12ED3454"/>
    <w:rsid w:val="1F1A1FE0"/>
    <w:rsid w:val="2E2F361D"/>
    <w:rsid w:val="4C8A5D98"/>
    <w:rsid w:val="5960181C"/>
    <w:rsid w:val="74E56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semiHidden/>
    <w:unhideWhenUsed/>
    <w:qFormat/>
    <w:uiPriority w:val="99"/>
    <w:pPr>
      <w:tabs>
        <w:tab w:val="center" w:pos="4153"/>
        <w:tab w:val="right" w:pos="8306"/>
      </w:tabs>
      <w:snapToGrid w:val="0"/>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style>
  <w:style w:type="paragraph" w:customStyle="1" w:styleId="7">
    <w:name w:val="wpsoffice1"/>
    <w:basedOn w:val="1"/>
    <w:qFormat/>
    <w:uiPriority w:val="0"/>
    <w:pPr>
      <w:spacing w:before="100" w:beforeAutospacing="1" w:after="100" w:afterAutospacing="1"/>
    </w:pPr>
  </w:style>
  <w:style w:type="character" w:customStyle="1" w:styleId="8">
    <w:name w:val="grame"/>
    <w:basedOn w:val="6"/>
    <w:uiPriority w:val="0"/>
  </w:style>
  <w:style w:type="paragraph" w:customStyle="1" w:styleId="9">
    <w:name w:val="wpsoffice2"/>
    <w:basedOn w:val="1"/>
    <w:uiPriority w:val="0"/>
    <w:pPr>
      <w:spacing w:before="100" w:beforeAutospacing="1" w:after="100" w:afterAutospacing="1"/>
    </w:pPr>
  </w:style>
  <w:style w:type="character" w:customStyle="1" w:styleId="10">
    <w:name w:val="页眉 Char"/>
    <w:basedOn w:val="6"/>
    <w:link w:val="3"/>
    <w:semiHidden/>
    <w:qFormat/>
    <w:uiPriority w:val="99"/>
    <w:rPr>
      <w:rFonts w:ascii="宋体" w:hAnsi="宋体" w:eastAsia="宋体" w:cs="宋体"/>
      <w:sz w:val="18"/>
      <w:szCs w:val="18"/>
    </w:rPr>
  </w:style>
  <w:style w:type="character" w:customStyle="1" w:styleId="11">
    <w:name w:val="页脚 Char"/>
    <w:basedOn w:val="6"/>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5949</Words>
  <Characters>6501</Characters>
  <Lines>49</Lines>
  <Paragraphs>13</Paragraphs>
  <TotalTime>1</TotalTime>
  <ScaleCrop>false</ScaleCrop>
  <LinksUpToDate>false</LinksUpToDate>
  <CharactersWithSpaces>6632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2021-09-09T06:52:00Z</dcterms:created>
  <dc:creator>Administrator</dc:creator>
  <cp:lastModifiedBy>有何不可</cp:lastModifiedBy>
  <dcterms:modified xsi:type="dcterms:W3CDTF">2023-09-27T03:56:17Z</dcterms:modified>
  <dc:title>公开文本2020</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7D144AA370784C7F94E417CC2E4E64E5</vt:lpwstr>
  </property>
</Properties>
</file>