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5"/>
          <w:szCs w:val="25"/>
        </w:rPr>
      </w:pPr>
      <w:r>
        <w:rPr>
          <w:rFonts w:hint="eastAsia"/>
          <w:sz w:val="25"/>
          <w:szCs w:val="25"/>
        </w:rPr>
        <w:t>202</w:t>
      </w:r>
      <w:r>
        <w:rPr>
          <w:rFonts w:hint="eastAsia"/>
          <w:sz w:val="25"/>
          <w:szCs w:val="25"/>
          <w:lang w:val="en-US" w:eastAsia="zh-CN"/>
        </w:rPr>
        <w:t>3</w:t>
      </w:r>
      <w:r>
        <w:rPr>
          <w:rFonts w:hint="eastAsia"/>
          <w:sz w:val="25"/>
          <w:szCs w:val="25"/>
        </w:rPr>
        <w:t>海南热带雨林国家公园管理局尖峰岭分局单位预算</w:t>
      </w:r>
    </w:p>
    <w:p>
      <w:pPr>
        <w:jc w:val="center"/>
        <w:rPr>
          <w:sz w:val="25"/>
          <w:szCs w:val="25"/>
        </w:rPr>
      </w:pPr>
    </w:p>
    <w:p>
      <w:pPr>
        <w:jc w:val="center"/>
        <w:rPr>
          <w:sz w:val="25"/>
          <w:szCs w:val="25"/>
        </w:rPr>
      </w:pPr>
    </w:p>
    <w:p>
      <w:pPr>
        <w:jc w:val="center"/>
        <w:rPr>
          <w:sz w:val="25"/>
          <w:szCs w:val="25"/>
        </w:rPr>
      </w:pPr>
    </w:p>
    <w:p>
      <w:pPr>
        <w:jc w:val="center"/>
        <w:rPr>
          <w:sz w:val="25"/>
          <w:szCs w:val="25"/>
        </w:rPr>
      </w:pPr>
      <w:r>
        <w:rPr>
          <w:rFonts w:hint="eastAsia"/>
          <w:sz w:val="25"/>
          <w:szCs w:val="25"/>
        </w:rPr>
        <w:t>目录</w:t>
      </w:r>
    </w:p>
    <w:p>
      <w:pPr>
        <w:pStyle w:val="9"/>
        <w:numPr>
          <w:ilvl w:val="0"/>
          <w:numId w:val="1"/>
        </w:numPr>
        <w:ind w:firstLineChars="0"/>
        <w:jc w:val="left"/>
        <w:rPr>
          <w:sz w:val="25"/>
          <w:szCs w:val="25"/>
        </w:rPr>
      </w:pPr>
      <w:r>
        <w:rPr>
          <w:rFonts w:hint="eastAsia"/>
          <w:sz w:val="25"/>
          <w:szCs w:val="25"/>
        </w:rPr>
        <w:t xml:space="preserve"> 海南热带雨林国家公园管理局尖峰岭分局（单位）概况</w:t>
      </w:r>
    </w:p>
    <w:p>
      <w:pPr>
        <w:pStyle w:val="9"/>
        <w:numPr>
          <w:ilvl w:val="0"/>
          <w:numId w:val="1"/>
        </w:numPr>
        <w:ind w:firstLineChars="0"/>
        <w:jc w:val="left"/>
        <w:rPr>
          <w:sz w:val="25"/>
          <w:szCs w:val="25"/>
        </w:rPr>
      </w:pPr>
      <w:r>
        <w:rPr>
          <w:rFonts w:hint="eastAsia"/>
          <w:sz w:val="25"/>
          <w:szCs w:val="25"/>
        </w:rPr>
        <w:t>海南热带雨林国家公园管理局尖峰岭分局（单位）202</w:t>
      </w:r>
      <w:r>
        <w:rPr>
          <w:rFonts w:hint="eastAsia"/>
          <w:sz w:val="25"/>
          <w:szCs w:val="25"/>
          <w:lang w:val="en-US" w:eastAsia="zh-CN"/>
        </w:rPr>
        <w:t>3</w:t>
      </w:r>
      <w:r>
        <w:rPr>
          <w:rFonts w:hint="eastAsia"/>
          <w:sz w:val="25"/>
          <w:szCs w:val="25"/>
        </w:rPr>
        <w:t>年部门预算表</w:t>
      </w:r>
    </w:p>
    <w:p>
      <w:pPr>
        <w:pStyle w:val="9"/>
        <w:numPr>
          <w:ilvl w:val="1"/>
          <w:numId w:val="1"/>
        </w:numPr>
        <w:ind w:firstLineChars="0"/>
        <w:jc w:val="left"/>
        <w:rPr>
          <w:sz w:val="25"/>
          <w:szCs w:val="25"/>
        </w:rPr>
      </w:pPr>
      <w:r>
        <w:rPr>
          <w:rFonts w:hint="eastAsia"/>
          <w:sz w:val="25"/>
          <w:szCs w:val="25"/>
        </w:rPr>
        <w:t>财政拨款收支总表</w:t>
      </w:r>
    </w:p>
    <w:p>
      <w:pPr>
        <w:pStyle w:val="9"/>
        <w:numPr>
          <w:ilvl w:val="1"/>
          <w:numId w:val="1"/>
        </w:numPr>
        <w:ind w:firstLineChars="0"/>
        <w:jc w:val="left"/>
        <w:rPr>
          <w:sz w:val="25"/>
          <w:szCs w:val="25"/>
        </w:rPr>
      </w:pPr>
      <w:r>
        <w:rPr>
          <w:rFonts w:hint="eastAsia"/>
          <w:sz w:val="25"/>
          <w:szCs w:val="25"/>
        </w:rPr>
        <w:t>一般公共预算支出表</w:t>
      </w:r>
    </w:p>
    <w:p>
      <w:pPr>
        <w:pStyle w:val="9"/>
        <w:numPr>
          <w:ilvl w:val="1"/>
          <w:numId w:val="1"/>
        </w:numPr>
        <w:ind w:firstLineChars="0"/>
        <w:jc w:val="left"/>
        <w:rPr>
          <w:sz w:val="25"/>
          <w:szCs w:val="25"/>
        </w:rPr>
      </w:pPr>
      <w:r>
        <w:rPr>
          <w:rFonts w:hint="eastAsia"/>
          <w:sz w:val="25"/>
          <w:szCs w:val="25"/>
        </w:rPr>
        <w:t>一般公共预算基本支出表</w:t>
      </w:r>
    </w:p>
    <w:p>
      <w:pPr>
        <w:pStyle w:val="9"/>
        <w:numPr>
          <w:ilvl w:val="1"/>
          <w:numId w:val="1"/>
        </w:numPr>
        <w:ind w:firstLineChars="0"/>
        <w:jc w:val="left"/>
        <w:rPr>
          <w:sz w:val="25"/>
          <w:szCs w:val="25"/>
        </w:rPr>
      </w:pPr>
      <w:r>
        <w:rPr>
          <w:rFonts w:hint="eastAsia"/>
          <w:sz w:val="25"/>
          <w:szCs w:val="25"/>
        </w:rPr>
        <w:t>一般公共预算“三公”经费支出表</w:t>
      </w:r>
    </w:p>
    <w:p>
      <w:pPr>
        <w:pStyle w:val="9"/>
        <w:numPr>
          <w:ilvl w:val="1"/>
          <w:numId w:val="1"/>
        </w:numPr>
        <w:ind w:firstLineChars="0"/>
        <w:jc w:val="left"/>
        <w:rPr>
          <w:sz w:val="25"/>
          <w:szCs w:val="25"/>
        </w:rPr>
      </w:pPr>
      <w:r>
        <w:rPr>
          <w:rFonts w:hint="eastAsia"/>
          <w:sz w:val="25"/>
          <w:szCs w:val="25"/>
        </w:rPr>
        <w:t>政府性基金预算支出表</w:t>
      </w:r>
    </w:p>
    <w:p>
      <w:pPr>
        <w:pStyle w:val="9"/>
        <w:numPr>
          <w:ilvl w:val="1"/>
          <w:numId w:val="1"/>
        </w:numPr>
        <w:ind w:firstLineChars="0"/>
        <w:jc w:val="left"/>
        <w:rPr>
          <w:sz w:val="25"/>
          <w:szCs w:val="25"/>
        </w:rPr>
      </w:pPr>
      <w:r>
        <w:rPr>
          <w:rFonts w:hint="eastAsia"/>
          <w:sz w:val="25"/>
          <w:szCs w:val="25"/>
        </w:rPr>
        <w:t>政府性基金预算“三公”经费支出表</w:t>
      </w:r>
    </w:p>
    <w:p>
      <w:pPr>
        <w:pStyle w:val="9"/>
        <w:numPr>
          <w:ilvl w:val="1"/>
          <w:numId w:val="1"/>
        </w:numPr>
        <w:ind w:firstLineChars="0"/>
        <w:jc w:val="left"/>
        <w:rPr>
          <w:sz w:val="25"/>
          <w:szCs w:val="25"/>
        </w:rPr>
      </w:pPr>
      <w:r>
        <w:rPr>
          <w:rFonts w:hint="eastAsia"/>
          <w:sz w:val="25"/>
          <w:szCs w:val="25"/>
        </w:rPr>
        <w:t>部门收支总表</w:t>
      </w:r>
    </w:p>
    <w:p>
      <w:pPr>
        <w:pStyle w:val="9"/>
        <w:numPr>
          <w:ilvl w:val="1"/>
          <w:numId w:val="1"/>
        </w:numPr>
        <w:ind w:firstLineChars="0"/>
        <w:jc w:val="left"/>
        <w:rPr>
          <w:sz w:val="25"/>
          <w:szCs w:val="25"/>
        </w:rPr>
      </w:pPr>
      <w:r>
        <w:rPr>
          <w:rFonts w:hint="eastAsia"/>
          <w:sz w:val="25"/>
          <w:szCs w:val="25"/>
        </w:rPr>
        <w:t>部门收入总表</w:t>
      </w:r>
    </w:p>
    <w:p>
      <w:pPr>
        <w:pStyle w:val="9"/>
        <w:numPr>
          <w:ilvl w:val="1"/>
          <w:numId w:val="1"/>
        </w:numPr>
        <w:ind w:firstLineChars="0"/>
        <w:jc w:val="left"/>
        <w:rPr>
          <w:sz w:val="25"/>
          <w:szCs w:val="25"/>
        </w:rPr>
      </w:pPr>
      <w:r>
        <w:rPr>
          <w:rFonts w:hint="eastAsia"/>
          <w:sz w:val="25"/>
          <w:szCs w:val="25"/>
        </w:rPr>
        <w:t>部门支出总表</w:t>
      </w:r>
    </w:p>
    <w:p>
      <w:pPr>
        <w:pStyle w:val="9"/>
        <w:numPr>
          <w:ilvl w:val="1"/>
          <w:numId w:val="1"/>
        </w:numPr>
        <w:ind w:firstLineChars="0"/>
        <w:jc w:val="left"/>
        <w:rPr>
          <w:sz w:val="25"/>
          <w:szCs w:val="25"/>
        </w:rPr>
      </w:pPr>
      <w:r>
        <w:rPr>
          <w:rFonts w:hint="eastAsia"/>
          <w:sz w:val="25"/>
          <w:szCs w:val="25"/>
        </w:rPr>
        <w:t>项目支出绩效信息表</w:t>
      </w:r>
    </w:p>
    <w:p>
      <w:pPr>
        <w:pStyle w:val="9"/>
        <w:ind w:left="1200" w:firstLine="0" w:firstLineChars="0"/>
        <w:jc w:val="left"/>
        <w:rPr>
          <w:sz w:val="25"/>
          <w:szCs w:val="25"/>
        </w:rPr>
      </w:pPr>
    </w:p>
    <w:p>
      <w:pPr>
        <w:pStyle w:val="9"/>
        <w:numPr>
          <w:ilvl w:val="0"/>
          <w:numId w:val="1"/>
        </w:numPr>
        <w:ind w:firstLineChars="0"/>
        <w:jc w:val="left"/>
        <w:rPr>
          <w:sz w:val="25"/>
          <w:szCs w:val="25"/>
        </w:rPr>
      </w:pPr>
      <w:r>
        <w:rPr>
          <w:rFonts w:hint="eastAsia"/>
          <w:sz w:val="25"/>
          <w:szCs w:val="25"/>
        </w:rPr>
        <w:t>海南热带雨林国家公园管理局尖峰岭分局（单位）202</w:t>
      </w:r>
      <w:r>
        <w:rPr>
          <w:rFonts w:hint="eastAsia"/>
          <w:sz w:val="25"/>
          <w:szCs w:val="25"/>
          <w:lang w:val="en-US" w:eastAsia="zh-CN"/>
        </w:rPr>
        <w:t>3</w:t>
      </w:r>
      <w:r>
        <w:rPr>
          <w:rFonts w:hint="eastAsia"/>
          <w:sz w:val="25"/>
          <w:szCs w:val="25"/>
        </w:rPr>
        <w:t>年部门预算情况说明</w:t>
      </w:r>
    </w:p>
    <w:p>
      <w:pPr>
        <w:pStyle w:val="9"/>
        <w:numPr>
          <w:ilvl w:val="0"/>
          <w:numId w:val="1"/>
        </w:numPr>
        <w:ind w:firstLineChars="0"/>
        <w:jc w:val="left"/>
        <w:rPr>
          <w:sz w:val="25"/>
          <w:szCs w:val="25"/>
        </w:rPr>
      </w:pPr>
      <w:r>
        <w:rPr>
          <w:rFonts w:hint="eastAsia"/>
          <w:sz w:val="25"/>
          <w:szCs w:val="25"/>
        </w:rPr>
        <w:t xml:space="preserve">  名词解释</w:t>
      </w:r>
    </w:p>
    <w:p>
      <w:pPr>
        <w:pStyle w:val="9"/>
        <w:ind w:left="1920" w:firstLine="0" w:firstLineChars="0"/>
        <w:jc w:val="left"/>
        <w:rPr>
          <w:sz w:val="25"/>
          <w:szCs w:val="25"/>
        </w:rPr>
      </w:pPr>
    </w:p>
    <w:p>
      <w:pPr>
        <w:pStyle w:val="9"/>
        <w:ind w:left="1920" w:firstLine="0" w:firstLineChars="0"/>
        <w:jc w:val="left"/>
        <w:rPr>
          <w:sz w:val="25"/>
          <w:szCs w:val="25"/>
        </w:rPr>
      </w:pPr>
    </w:p>
    <w:p>
      <w:pPr>
        <w:pStyle w:val="9"/>
        <w:ind w:left="1920" w:firstLine="0" w:firstLineChars="0"/>
        <w:jc w:val="left"/>
        <w:rPr>
          <w:sz w:val="25"/>
          <w:szCs w:val="25"/>
        </w:rPr>
      </w:pPr>
    </w:p>
    <w:p>
      <w:pPr>
        <w:pStyle w:val="9"/>
        <w:ind w:left="1920" w:firstLine="0" w:firstLineChars="0"/>
        <w:jc w:val="left"/>
        <w:rPr>
          <w:sz w:val="25"/>
          <w:szCs w:val="25"/>
        </w:rPr>
      </w:pPr>
    </w:p>
    <w:p>
      <w:pPr>
        <w:pStyle w:val="9"/>
        <w:numPr>
          <w:ilvl w:val="0"/>
          <w:numId w:val="2"/>
        </w:numPr>
        <w:ind w:firstLineChars="0"/>
        <w:jc w:val="left"/>
        <w:rPr>
          <w:sz w:val="25"/>
          <w:szCs w:val="25"/>
        </w:rPr>
      </w:pPr>
      <w:r>
        <w:rPr>
          <w:rFonts w:hint="eastAsia"/>
          <w:sz w:val="25"/>
          <w:szCs w:val="25"/>
        </w:rPr>
        <w:t>海南热带雨林国家公园管理局尖峰岭分局（单位）概况</w:t>
      </w:r>
    </w:p>
    <w:p>
      <w:pPr>
        <w:pStyle w:val="9"/>
        <w:numPr>
          <w:ilvl w:val="0"/>
          <w:numId w:val="3"/>
        </w:numPr>
        <w:ind w:firstLineChars="0"/>
        <w:jc w:val="left"/>
        <w:rPr>
          <w:sz w:val="25"/>
          <w:szCs w:val="25"/>
        </w:rPr>
      </w:pPr>
      <w:r>
        <w:rPr>
          <w:rFonts w:hint="eastAsia"/>
          <w:sz w:val="25"/>
          <w:szCs w:val="25"/>
        </w:rPr>
        <w:t>主要职能</w:t>
      </w:r>
    </w:p>
    <w:p>
      <w:pPr>
        <w:pStyle w:val="9"/>
        <w:numPr>
          <w:ilvl w:val="0"/>
          <w:numId w:val="4"/>
        </w:numPr>
        <w:ind w:firstLineChars="0"/>
        <w:jc w:val="left"/>
        <w:rPr>
          <w:sz w:val="25"/>
          <w:szCs w:val="25"/>
        </w:rPr>
      </w:pPr>
      <w:r>
        <w:rPr>
          <w:rFonts w:hint="eastAsia"/>
          <w:sz w:val="25"/>
          <w:szCs w:val="25"/>
        </w:rPr>
        <w:t>承担辖区内的生态保护、自然资源调查、生态环境监测和评价等工作。</w:t>
      </w:r>
    </w:p>
    <w:p>
      <w:pPr>
        <w:pStyle w:val="9"/>
        <w:numPr>
          <w:ilvl w:val="0"/>
          <w:numId w:val="4"/>
        </w:numPr>
        <w:ind w:firstLineChars="0"/>
        <w:jc w:val="left"/>
        <w:rPr>
          <w:sz w:val="25"/>
          <w:szCs w:val="25"/>
        </w:rPr>
      </w:pPr>
      <w:r>
        <w:rPr>
          <w:rFonts w:hint="eastAsia"/>
          <w:sz w:val="25"/>
          <w:szCs w:val="25"/>
        </w:rPr>
        <w:t>负责辖区内基础建设、安全生产、森林防火及病虫害防治工作。</w:t>
      </w:r>
    </w:p>
    <w:p>
      <w:pPr>
        <w:pStyle w:val="9"/>
        <w:numPr>
          <w:ilvl w:val="0"/>
          <w:numId w:val="4"/>
        </w:numPr>
        <w:ind w:firstLineChars="0"/>
        <w:jc w:val="left"/>
        <w:rPr>
          <w:sz w:val="25"/>
          <w:szCs w:val="25"/>
        </w:rPr>
      </w:pPr>
      <w:r>
        <w:rPr>
          <w:rFonts w:hint="eastAsia"/>
          <w:sz w:val="25"/>
          <w:szCs w:val="25"/>
        </w:rPr>
        <w:t>组织开展科研活动、资源调查、生态环境监测和评价等工作。</w:t>
      </w:r>
    </w:p>
    <w:p>
      <w:pPr>
        <w:pStyle w:val="9"/>
        <w:numPr>
          <w:ilvl w:val="0"/>
          <w:numId w:val="4"/>
        </w:numPr>
        <w:ind w:firstLineChars="0"/>
        <w:jc w:val="left"/>
        <w:rPr>
          <w:sz w:val="25"/>
          <w:szCs w:val="25"/>
        </w:rPr>
      </w:pPr>
      <w:r>
        <w:rPr>
          <w:rFonts w:hint="eastAsia"/>
          <w:sz w:val="25"/>
          <w:szCs w:val="25"/>
        </w:rPr>
        <w:t>组织开展生态体验、科普教育等活动。</w:t>
      </w:r>
    </w:p>
    <w:p>
      <w:pPr>
        <w:pStyle w:val="9"/>
        <w:numPr>
          <w:ilvl w:val="0"/>
          <w:numId w:val="4"/>
        </w:numPr>
        <w:ind w:firstLineChars="0"/>
        <w:jc w:val="left"/>
        <w:rPr>
          <w:sz w:val="25"/>
          <w:szCs w:val="25"/>
        </w:rPr>
      </w:pPr>
      <w:r>
        <w:rPr>
          <w:rFonts w:hint="eastAsia"/>
          <w:sz w:val="25"/>
          <w:szCs w:val="25"/>
        </w:rPr>
        <w:t>配合地方政府做好相关工作、承办上级部门交办的其他工作。</w:t>
      </w:r>
    </w:p>
    <w:p>
      <w:pPr>
        <w:pStyle w:val="9"/>
        <w:numPr>
          <w:ilvl w:val="0"/>
          <w:numId w:val="2"/>
        </w:numPr>
        <w:ind w:firstLineChars="0"/>
        <w:jc w:val="left"/>
        <w:rPr>
          <w:sz w:val="25"/>
          <w:szCs w:val="25"/>
        </w:rPr>
      </w:pPr>
      <w:r>
        <w:rPr>
          <w:rFonts w:hint="eastAsia"/>
          <w:sz w:val="25"/>
          <w:szCs w:val="25"/>
        </w:rPr>
        <w:t>海南热带雨林国家公园管理局尖峰岭分局（单位）202</w:t>
      </w:r>
      <w:r>
        <w:rPr>
          <w:rFonts w:hint="eastAsia"/>
          <w:sz w:val="25"/>
          <w:szCs w:val="25"/>
          <w:lang w:val="en-US" w:eastAsia="zh-CN"/>
        </w:rPr>
        <w:t>3</w:t>
      </w:r>
      <w:r>
        <w:rPr>
          <w:rFonts w:hint="eastAsia"/>
          <w:sz w:val="25"/>
          <w:szCs w:val="25"/>
        </w:rPr>
        <w:t>年部门预算表</w:t>
      </w:r>
    </w:p>
    <w:p>
      <w:pPr>
        <w:pStyle w:val="9"/>
        <w:numPr>
          <w:ilvl w:val="0"/>
          <w:numId w:val="5"/>
        </w:numPr>
        <w:ind w:firstLineChars="0"/>
        <w:jc w:val="left"/>
        <w:rPr>
          <w:sz w:val="25"/>
          <w:szCs w:val="25"/>
        </w:rPr>
      </w:pPr>
      <w:r>
        <w:rPr>
          <w:rFonts w:hint="eastAsia"/>
          <w:sz w:val="25"/>
          <w:szCs w:val="25"/>
        </w:rPr>
        <w:t>财政拨款收支总表</w:t>
      </w:r>
    </w:p>
    <w:p>
      <w:pPr>
        <w:pStyle w:val="9"/>
        <w:numPr>
          <w:ilvl w:val="0"/>
          <w:numId w:val="5"/>
        </w:numPr>
        <w:ind w:firstLineChars="0"/>
        <w:jc w:val="left"/>
        <w:rPr>
          <w:sz w:val="25"/>
          <w:szCs w:val="25"/>
        </w:rPr>
      </w:pPr>
      <w:r>
        <w:rPr>
          <w:rFonts w:hint="eastAsia"/>
          <w:sz w:val="25"/>
          <w:szCs w:val="25"/>
        </w:rPr>
        <w:t>一般公共预算支出表</w:t>
      </w:r>
    </w:p>
    <w:p>
      <w:pPr>
        <w:pStyle w:val="9"/>
        <w:numPr>
          <w:ilvl w:val="0"/>
          <w:numId w:val="5"/>
        </w:numPr>
        <w:ind w:firstLineChars="0"/>
        <w:jc w:val="left"/>
        <w:rPr>
          <w:sz w:val="25"/>
          <w:szCs w:val="25"/>
        </w:rPr>
      </w:pPr>
      <w:r>
        <w:rPr>
          <w:rFonts w:hint="eastAsia"/>
          <w:sz w:val="25"/>
          <w:szCs w:val="25"/>
        </w:rPr>
        <w:t>一般公共预算基本支出表</w:t>
      </w:r>
    </w:p>
    <w:p>
      <w:pPr>
        <w:pStyle w:val="9"/>
        <w:numPr>
          <w:ilvl w:val="0"/>
          <w:numId w:val="5"/>
        </w:numPr>
        <w:ind w:firstLineChars="0"/>
        <w:jc w:val="left"/>
        <w:rPr>
          <w:sz w:val="25"/>
          <w:szCs w:val="25"/>
        </w:rPr>
      </w:pPr>
      <w:r>
        <w:rPr>
          <w:rFonts w:hint="eastAsia"/>
          <w:sz w:val="25"/>
          <w:szCs w:val="25"/>
        </w:rPr>
        <w:t>一般公共预算“三公”经费支出表</w:t>
      </w:r>
    </w:p>
    <w:p>
      <w:pPr>
        <w:pStyle w:val="9"/>
        <w:numPr>
          <w:ilvl w:val="0"/>
          <w:numId w:val="5"/>
        </w:numPr>
        <w:ind w:firstLineChars="0"/>
        <w:jc w:val="left"/>
        <w:rPr>
          <w:sz w:val="25"/>
          <w:szCs w:val="25"/>
        </w:rPr>
      </w:pPr>
      <w:r>
        <w:rPr>
          <w:rFonts w:hint="eastAsia"/>
          <w:sz w:val="25"/>
          <w:szCs w:val="25"/>
        </w:rPr>
        <w:t>政府性基金预算支出表</w:t>
      </w:r>
    </w:p>
    <w:p>
      <w:pPr>
        <w:pStyle w:val="9"/>
        <w:numPr>
          <w:ilvl w:val="0"/>
          <w:numId w:val="5"/>
        </w:numPr>
        <w:ind w:firstLineChars="0"/>
        <w:jc w:val="left"/>
        <w:rPr>
          <w:sz w:val="25"/>
          <w:szCs w:val="25"/>
        </w:rPr>
      </w:pPr>
      <w:r>
        <w:rPr>
          <w:rFonts w:hint="eastAsia"/>
          <w:sz w:val="25"/>
          <w:szCs w:val="25"/>
        </w:rPr>
        <w:t>政府性基金预算“三公”经费支出表</w:t>
      </w:r>
    </w:p>
    <w:p>
      <w:pPr>
        <w:pStyle w:val="9"/>
        <w:numPr>
          <w:ilvl w:val="0"/>
          <w:numId w:val="5"/>
        </w:numPr>
        <w:ind w:firstLineChars="0"/>
        <w:jc w:val="left"/>
        <w:rPr>
          <w:sz w:val="25"/>
          <w:szCs w:val="25"/>
        </w:rPr>
      </w:pPr>
      <w:r>
        <w:rPr>
          <w:rFonts w:hint="eastAsia"/>
          <w:sz w:val="25"/>
          <w:szCs w:val="25"/>
        </w:rPr>
        <w:t>部门收支总表</w:t>
      </w:r>
    </w:p>
    <w:p>
      <w:pPr>
        <w:pStyle w:val="9"/>
        <w:numPr>
          <w:ilvl w:val="0"/>
          <w:numId w:val="5"/>
        </w:numPr>
        <w:ind w:firstLineChars="0"/>
        <w:jc w:val="left"/>
        <w:rPr>
          <w:sz w:val="25"/>
          <w:szCs w:val="25"/>
        </w:rPr>
      </w:pPr>
      <w:r>
        <w:rPr>
          <w:rFonts w:hint="eastAsia"/>
          <w:sz w:val="25"/>
          <w:szCs w:val="25"/>
        </w:rPr>
        <w:t>部门收入总表</w:t>
      </w:r>
    </w:p>
    <w:p>
      <w:pPr>
        <w:pStyle w:val="9"/>
        <w:numPr>
          <w:ilvl w:val="0"/>
          <w:numId w:val="5"/>
        </w:numPr>
        <w:ind w:firstLineChars="0"/>
        <w:jc w:val="left"/>
        <w:rPr>
          <w:sz w:val="25"/>
          <w:szCs w:val="25"/>
        </w:rPr>
      </w:pPr>
      <w:r>
        <w:rPr>
          <w:rFonts w:hint="eastAsia"/>
          <w:sz w:val="25"/>
          <w:szCs w:val="25"/>
        </w:rPr>
        <w:t>部门支出总表</w:t>
      </w:r>
    </w:p>
    <w:p>
      <w:pPr>
        <w:pStyle w:val="9"/>
        <w:numPr>
          <w:ilvl w:val="0"/>
          <w:numId w:val="5"/>
        </w:numPr>
        <w:ind w:firstLineChars="0"/>
        <w:jc w:val="left"/>
        <w:rPr>
          <w:sz w:val="25"/>
          <w:szCs w:val="25"/>
        </w:rPr>
      </w:pPr>
      <w:r>
        <w:rPr>
          <w:rFonts w:hint="eastAsia"/>
          <w:sz w:val="25"/>
          <w:szCs w:val="25"/>
        </w:rPr>
        <w:t>项目支出绩效信息表</w:t>
      </w:r>
    </w:p>
    <w:p>
      <w:pPr>
        <w:pStyle w:val="9"/>
        <w:ind w:left="1800" w:firstLine="0" w:firstLineChars="0"/>
        <w:jc w:val="left"/>
        <w:rPr>
          <w:rFonts w:ascii="仿宋_GB2312" w:hAnsi="微软雅黑" w:eastAsia="仿宋_GB2312"/>
          <w:color w:val="000000" w:themeColor="text1"/>
          <w:sz w:val="25"/>
          <w:szCs w:val="25"/>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此部分内容即为单位预算公开表</w:t>
      </w:r>
      <w:r>
        <w:rPr>
          <w:rFonts w:hint="eastAsia" w:ascii="仿宋_GB2312" w:hAnsi="微软雅黑" w:eastAsia="仿宋_GB2312"/>
          <w:color w:val="000000" w:themeColor="text1"/>
          <w:sz w:val="25"/>
          <w:szCs w:val="25"/>
          <w14:textFill>
            <w14:solidFill>
              <w14:schemeClr w14:val="tx1"/>
            </w14:solidFill>
          </w14:textFill>
        </w:rPr>
        <w:t>）</w:t>
      </w:r>
    </w:p>
    <w:p>
      <w:pPr>
        <w:pStyle w:val="9"/>
        <w:numPr>
          <w:ilvl w:val="0"/>
          <w:numId w:val="2"/>
        </w:numPr>
        <w:ind w:firstLineChars="0"/>
        <w:jc w:val="left"/>
        <w:rPr>
          <w:color w:val="000000" w:themeColor="text1"/>
          <w:sz w:val="25"/>
          <w:szCs w:val="25"/>
          <w14:textFill>
            <w14:solidFill>
              <w14:schemeClr w14:val="tx1"/>
            </w14:solidFill>
          </w14:textFill>
        </w:rPr>
      </w:pPr>
      <w:r>
        <w:rPr>
          <w:rFonts w:hint="eastAsia"/>
          <w:color w:val="000000" w:themeColor="text1"/>
          <w:sz w:val="25"/>
          <w:szCs w:val="25"/>
          <w14:textFill>
            <w14:solidFill>
              <w14:schemeClr w14:val="tx1"/>
            </w14:solidFill>
          </w14:textFill>
        </w:rPr>
        <w:t>海南热带雨林国家公园管理局尖峰岭分局（单位）202</w:t>
      </w:r>
      <w:r>
        <w:rPr>
          <w:rFonts w:hint="eastAsia"/>
          <w:color w:val="000000" w:themeColor="text1"/>
          <w:sz w:val="25"/>
          <w:szCs w:val="25"/>
          <w:lang w:val="en-US" w:eastAsia="zh-CN"/>
          <w14:textFill>
            <w14:solidFill>
              <w14:schemeClr w14:val="tx1"/>
            </w14:solidFill>
          </w14:textFill>
        </w:rPr>
        <w:t>3</w:t>
      </w:r>
      <w:r>
        <w:rPr>
          <w:rFonts w:hint="eastAsia"/>
          <w:color w:val="000000" w:themeColor="text1"/>
          <w:sz w:val="25"/>
          <w:szCs w:val="25"/>
          <w14:textFill>
            <w14:solidFill>
              <w14:schemeClr w14:val="tx1"/>
            </w14:solidFill>
          </w14:textFill>
        </w:rPr>
        <w:t>年部门预算情况说明</w:t>
      </w:r>
    </w:p>
    <w:p>
      <w:pPr>
        <w:pStyle w:val="4"/>
        <w:numPr>
          <w:ilvl w:val="0"/>
          <w:numId w:val="3"/>
        </w:numPr>
        <w:shd w:val="clear" w:color="auto" w:fill="FFFFFF"/>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14:textFill>
            <w14:solidFill>
              <w14:schemeClr w14:val="tx1"/>
            </w14:solidFill>
          </w14:textFill>
        </w:rPr>
        <w:t>关于</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b/>
          <w:color w:val="000000" w:themeColor="text1"/>
          <w:sz w:val="25"/>
          <w:szCs w:val="25"/>
          <w14:textFill>
            <w14:solidFill>
              <w14:schemeClr w14:val="tx1"/>
            </w14:solidFill>
          </w14:textFill>
        </w:rPr>
        <w:t>202</w:t>
      </w:r>
      <w:r>
        <w:rPr>
          <w:rFonts w:hint="eastAsia" w:ascii="仿宋_GB2312" w:hAnsi="微软雅黑" w:eastAsia="仿宋_GB2312"/>
          <w:b/>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14:textFill>
            <w14:solidFill>
              <w14:schemeClr w14:val="tx1"/>
            </w14:solidFill>
          </w14:textFill>
        </w:rPr>
        <w:t>年财政拨款收支预算情况的总体说明</w:t>
      </w:r>
    </w:p>
    <w:p>
      <w:pPr>
        <w:pStyle w:val="4"/>
        <w:shd w:val="clear" w:color="auto" w:fill="FFFFFF"/>
        <w:ind w:firstLine="425" w:firstLineChars="170"/>
        <w:rPr>
          <w:rFonts w:ascii="仿宋_GB2312" w:hAnsi="微软雅黑" w:eastAsia="仿宋_GB2312"/>
          <w:color w:val="000000" w:themeColor="text1"/>
          <w:sz w:val="25"/>
          <w:szCs w:val="25"/>
          <w14:textFill>
            <w14:solidFill>
              <w14:schemeClr w14:val="tx1"/>
            </w14:solidFill>
          </w14:textFill>
        </w:rPr>
      </w:pP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年财政拨款收支总预算6,950.82万元。其中，本年收入5,639.41</w:t>
      </w:r>
      <w:r>
        <w:rPr>
          <w:rFonts w:hint="eastAsia" w:ascii="仿宋_GB2312" w:hAnsi="微软雅黑" w:eastAsia="仿宋_GB2312"/>
          <w:color w:val="000000" w:themeColor="text1"/>
          <w:sz w:val="25"/>
          <w:szCs w:val="25"/>
          <w:lang w:val="en-US" w:eastAsia="zh-CN"/>
          <w14:textFill>
            <w14:solidFill>
              <w14:schemeClr w14:val="tx1"/>
            </w14:solidFill>
          </w14:textFill>
        </w:rPr>
        <w:t>万</w:t>
      </w:r>
      <w:r>
        <w:rPr>
          <w:rFonts w:hint="eastAsia" w:ascii="仿宋_GB2312" w:hAnsi="微软雅黑" w:eastAsia="仿宋_GB2312"/>
          <w:color w:val="000000" w:themeColor="text1"/>
          <w:sz w:val="25"/>
          <w:szCs w:val="25"/>
          <w14:textFill>
            <w14:solidFill>
              <w14:schemeClr w14:val="tx1"/>
            </w14:solidFill>
          </w14:textFill>
        </w:rPr>
        <w:t>元，上年结转收入1,311.41万元，包括一般公共预算本年收入5,639.41万元，一般公共预算上年结转收入1,311.41万元。一般公共预算支出总计6,950.82万元，包括：社会保障和就业支出</w:t>
      </w:r>
      <w:r>
        <w:rPr>
          <w:rFonts w:hint="eastAsia" w:ascii="仿宋_GB2312" w:hAnsi="微软雅黑" w:eastAsia="仿宋_GB2312"/>
          <w:color w:val="000000" w:themeColor="text1"/>
          <w:sz w:val="25"/>
          <w:szCs w:val="25"/>
          <w:lang w:val="en-US" w:eastAsia="zh-CN"/>
          <w14:textFill>
            <w14:solidFill>
              <w14:schemeClr w14:val="tx1"/>
            </w14:solidFill>
          </w14:textFill>
        </w:rPr>
        <w:t>68.46</w:t>
      </w:r>
      <w:r>
        <w:rPr>
          <w:rFonts w:hint="eastAsia" w:ascii="仿宋_GB2312" w:hAnsi="微软雅黑" w:eastAsia="仿宋_GB2312"/>
          <w:color w:val="000000" w:themeColor="text1"/>
          <w:sz w:val="25"/>
          <w:szCs w:val="25"/>
          <w14:textFill>
            <w14:solidFill>
              <w14:schemeClr w14:val="tx1"/>
            </w14:solidFill>
          </w14:textFill>
        </w:rPr>
        <w:t>万元、卫生健康支出1</w:t>
      </w:r>
      <w:r>
        <w:rPr>
          <w:rFonts w:hint="eastAsia" w:ascii="仿宋_GB2312" w:hAnsi="微软雅黑" w:eastAsia="仿宋_GB2312"/>
          <w:color w:val="000000" w:themeColor="text1"/>
          <w:sz w:val="25"/>
          <w:szCs w:val="25"/>
          <w:lang w:val="en-US" w:eastAsia="zh-CN"/>
          <w14:textFill>
            <w14:solidFill>
              <w14:schemeClr w14:val="tx1"/>
            </w14:solidFill>
          </w14:textFill>
        </w:rPr>
        <w:t>6.52</w:t>
      </w:r>
      <w:r>
        <w:rPr>
          <w:rFonts w:hint="eastAsia" w:ascii="仿宋_GB2312" w:hAnsi="微软雅黑" w:eastAsia="仿宋_GB2312"/>
          <w:color w:val="000000" w:themeColor="text1"/>
          <w:sz w:val="25"/>
          <w:szCs w:val="25"/>
          <w14:textFill>
            <w14:solidFill>
              <w14:schemeClr w14:val="tx1"/>
            </w14:solidFill>
          </w14:textFill>
        </w:rPr>
        <w:t>万元、节能环保支出6</w:t>
      </w:r>
      <w:r>
        <w:rPr>
          <w:rFonts w:hint="eastAsia" w:ascii="仿宋_GB2312" w:hAnsi="微软雅黑" w:eastAsia="仿宋_GB2312"/>
          <w:color w:val="000000" w:themeColor="text1"/>
          <w:sz w:val="25"/>
          <w:szCs w:val="25"/>
          <w:lang w:val="en-US" w:eastAsia="zh-CN"/>
          <w14:textFill>
            <w14:solidFill>
              <w14:schemeClr w14:val="tx1"/>
            </w14:solidFill>
          </w14:textFill>
        </w:rPr>
        <w:t>383.99</w:t>
      </w:r>
      <w:r>
        <w:rPr>
          <w:rFonts w:hint="eastAsia" w:ascii="仿宋_GB2312" w:hAnsi="微软雅黑" w:eastAsia="仿宋_GB2312"/>
          <w:color w:val="000000" w:themeColor="text1"/>
          <w:sz w:val="25"/>
          <w:szCs w:val="25"/>
          <w14:textFill>
            <w14:solidFill>
              <w14:schemeClr w14:val="tx1"/>
            </w14:solidFill>
          </w14:textFill>
        </w:rPr>
        <w:t>万元、农林水支出</w:t>
      </w:r>
      <w:r>
        <w:rPr>
          <w:rFonts w:hint="eastAsia" w:ascii="仿宋_GB2312" w:hAnsi="微软雅黑" w:eastAsia="仿宋_GB2312"/>
          <w:color w:val="000000" w:themeColor="text1"/>
          <w:sz w:val="25"/>
          <w:szCs w:val="25"/>
          <w:lang w:val="en-US" w:eastAsia="zh-CN"/>
          <w14:textFill>
            <w14:solidFill>
              <w14:schemeClr w14:val="tx1"/>
            </w14:solidFill>
          </w14:textFill>
        </w:rPr>
        <w:t>529.68</w:t>
      </w:r>
      <w:r>
        <w:rPr>
          <w:rFonts w:hint="eastAsia" w:ascii="仿宋_GB2312" w:hAnsi="微软雅黑" w:eastAsia="仿宋_GB2312"/>
          <w:color w:val="000000" w:themeColor="text1"/>
          <w:sz w:val="25"/>
          <w:szCs w:val="25"/>
          <w14:textFill>
            <w14:solidFill>
              <w14:schemeClr w14:val="tx1"/>
            </w14:solidFill>
          </w14:textFill>
        </w:rPr>
        <w:t>万元、</w:t>
      </w:r>
      <w:r>
        <w:rPr>
          <w:rFonts w:hint="eastAsia" w:ascii="仿宋_GB2312" w:hAnsi="微软雅黑" w:eastAsia="仿宋_GB2312"/>
          <w:color w:val="000000" w:themeColor="text1"/>
          <w:sz w:val="25"/>
          <w:szCs w:val="25"/>
          <w:lang w:val="en-US" w:eastAsia="zh-CN"/>
          <w14:textFill>
            <w14:solidFill>
              <w14:schemeClr w14:val="tx1"/>
            </w14:solidFill>
          </w14:textFill>
        </w:rPr>
        <w:t>交通运输支出22.17万元、</w:t>
      </w:r>
      <w:r>
        <w:rPr>
          <w:rFonts w:hint="eastAsia" w:ascii="仿宋_GB2312" w:hAnsi="微软雅黑" w:eastAsia="仿宋_GB2312"/>
          <w:color w:val="000000" w:themeColor="text1"/>
          <w:sz w:val="25"/>
          <w:szCs w:val="25"/>
          <w14:textFill>
            <w14:solidFill>
              <w14:schemeClr w14:val="tx1"/>
            </w14:solidFill>
          </w14:textFill>
        </w:rPr>
        <w:t>住房保障支出</w:t>
      </w:r>
      <w:r>
        <w:rPr>
          <w:rFonts w:hint="eastAsia" w:ascii="仿宋_GB2312" w:hAnsi="微软雅黑" w:eastAsia="仿宋_GB2312"/>
          <w:color w:val="000000" w:themeColor="text1"/>
          <w:sz w:val="25"/>
          <w:szCs w:val="25"/>
          <w:lang w:val="en-US" w:eastAsia="zh-CN"/>
          <w14:textFill>
            <w14:solidFill>
              <w14:schemeClr w14:val="tx1"/>
            </w14:solidFill>
          </w14:textFill>
        </w:rPr>
        <w:t>30.01</w:t>
      </w:r>
      <w:r>
        <w:rPr>
          <w:rFonts w:hint="eastAsia" w:ascii="仿宋_GB2312" w:hAnsi="微软雅黑" w:eastAsia="仿宋_GB2312"/>
          <w:color w:val="000000" w:themeColor="text1"/>
          <w:sz w:val="25"/>
          <w:szCs w:val="25"/>
          <w14:textFill>
            <w14:solidFill>
              <w14:schemeClr w14:val="tx1"/>
            </w14:solidFill>
          </w14:textFill>
        </w:rPr>
        <w:t>万元。</w:t>
      </w:r>
    </w:p>
    <w:p>
      <w:pPr>
        <w:pStyle w:val="4"/>
        <w:shd w:val="clear" w:color="auto" w:fill="FFFFFF"/>
        <w:ind w:left="1145" w:leftChars="307" w:hanging="500" w:hangingChars="200"/>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14:textFill>
            <w14:solidFill>
              <w14:schemeClr w14:val="tx1"/>
            </w14:solidFill>
          </w14:textFill>
        </w:rPr>
        <w:t>二、关于</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14:textFill>
            <w14:solidFill>
              <w14:schemeClr w14:val="tx1"/>
            </w14:solidFill>
          </w14:textFill>
        </w:rPr>
        <w:t>年一般公共预算当年拨款情况说明</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楷体" w:hAnsi="楷体" w:eastAsia="楷体"/>
          <w:color w:val="000000" w:themeColor="text1"/>
          <w:sz w:val="25"/>
          <w:szCs w:val="25"/>
          <w14:textFill>
            <w14:solidFill>
              <w14:schemeClr w14:val="tx1"/>
            </w14:solidFill>
          </w14:textFill>
        </w:rPr>
        <w:t>（一）一般公共预算当年规模变化情况</w:t>
      </w:r>
    </w:p>
    <w:p>
      <w:pPr>
        <w:pStyle w:val="4"/>
        <w:shd w:val="clear" w:color="auto" w:fill="FFFFFF"/>
        <w:ind w:firstLine="640" w:firstLineChars="256"/>
        <w:rPr>
          <w:rFonts w:ascii="仿宋" w:hAnsi="仿宋" w:eastAsia="仿宋"/>
          <w:color w:val="000000" w:themeColor="text1"/>
          <w:sz w:val="25"/>
          <w:szCs w:val="25"/>
          <w14:textFill>
            <w14:solidFill>
              <w14:schemeClr w14:val="tx1"/>
            </w14:solidFill>
          </w14:textFill>
        </w:rPr>
      </w:pP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年一般公共预算当年拨款</w:t>
      </w:r>
      <w:r>
        <w:rPr>
          <w:rFonts w:hint="eastAsia" w:ascii="仿宋_GB2312" w:hAnsi="微软雅黑" w:eastAsia="仿宋_GB2312"/>
          <w:color w:val="000000" w:themeColor="text1"/>
          <w:sz w:val="25"/>
          <w:szCs w:val="25"/>
          <w:lang w:val="en-US" w:eastAsia="zh-CN"/>
          <w14:textFill>
            <w14:solidFill>
              <w14:schemeClr w14:val="tx1"/>
            </w14:solidFill>
          </w14:textFill>
        </w:rPr>
        <w:t>6950.82</w:t>
      </w:r>
      <w:r>
        <w:rPr>
          <w:rFonts w:hint="eastAsia" w:ascii="仿宋_GB2312" w:hAnsi="微软雅黑" w:eastAsia="仿宋_GB2312"/>
          <w:color w:val="000000" w:themeColor="text1"/>
          <w:sz w:val="25"/>
          <w:szCs w:val="25"/>
          <w14:textFill>
            <w14:solidFill>
              <w14:schemeClr w14:val="tx1"/>
            </w14:solidFill>
          </w14:textFill>
        </w:rPr>
        <w:t>万元，比上年预算数</w:t>
      </w:r>
      <w:r>
        <w:rPr>
          <w:rFonts w:hint="eastAsia" w:ascii="仿宋_GB2312" w:hAnsi="微软雅黑" w:eastAsia="仿宋_GB2312"/>
          <w:color w:val="000000" w:themeColor="text1"/>
          <w:sz w:val="25"/>
          <w:szCs w:val="25"/>
          <w:lang w:val="en-US" w:eastAsia="zh-CN"/>
          <w14:textFill>
            <w14:solidFill>
              <w14:schemeClr w14:val="tx1"/>
            </w14:solidFill>
          </w14:textFill>
        </w:rPr>
        <w:t>减少1441.3</w:t>
      </w:r>
      <w:r>
        <w:rPr>
          <w:rFonts w:hint="eastAsia" w:ascii="仿宋_GB2312" w:hAnsi="微软雅黑" w:eastAsia="仿宋_GB2312"/>
          <w:color w:val="000000" w:themeColor="text1"/>
          <w:sz w:val="25"/>
          <w:szCs w:val="25"/>
          <w14:textFill>
            <w14:solidFill>
              <w14:schemeClr w14:val="tx1"/>
            </w14:solidFill>
          </w14:textFill>
        </w:rPr>
        <w:t>万元，主要原因：202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年国家公园项目</w:t>
      </w:r>
      <w:r>
        <w:rPr>
          <w:rFonts w:hint="eastAsia" w:ascii="仿宋_GB2312" w:hAnsi="微软雅黑" w:eastAsia="仿宋_GB2312"/>
          <w:color w:val="000000" w:themeColor="text1"/>
          <w:sz w:val="25"/>
          <w:szCs w:val="25"/>
          <w:lang w:val="en-US" w:eastAsia="zh-CN"/>
          <w14:textFill>
            <w14:solidFill>
              <w14:schemeClr w14:val="tx1"/>
            </w14:solidFill>
          </w14:textFill>
        </w:rPr>
        <w:t>减少</w:t>
      </w:r>
      <w:r>
        <w:rPr>
          <w:rFonts w:hint="eastAsia" w:ascii="仿宋_GB2312" w:hAnsi="微软雅黑" w:eastAsia="仿宋_GB2312"/>
          <w:color w:val="000000" w:themeColor="text1"/>
          <w:sz w:val="25"/>
          <w:szCs w:val="25"/>
          <w14:textFill>
            <w14:solidFill>
              <w14:schemeClr w14:val="tx1"/>
            </w14:solidFill>
          </w14:textFill>
        </w:rPr>
        <w:t>。</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楷体" w:hAnsi="楷体" w:eastAsia="楷体"/>
          <w:color w:val="000000" w:themeColor="text1"/>
          <w:sz w:val="25"/>
          <w:szCs w:val="25"/>
          <w14:textFill>
            <w14:solidFill>
              <w14:schemeClr w14:val="tx1"/>
            </w14:solidFill>
          </w14:textFill>
        </w:rPr>
        <w:t>（二）一般公共预算当年拨款结构情况</w:t>
      </w:r>
    </w:p>
    <w:p>
      <w:pPr>
        <w:pStyle w:val="4"/>
        <w:shd w:val="clear" w:color="auto" w:fill="FFFFFF"/>
        <w:ind w:firstLine="425" w:firstLineChars="170"/>
        <w:rPr>
          <w:rFonts w:ascii="仿宋_GB2312" w:hAnsi="微软雅黑" w:eastAsia="仿宋_GB2312"/>
          <w:color w:val="000000" w:themeColor="text1"/>
          <w:sz w:val="25"/>
          <w:szCs w:val="25"/>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社会保障和就业支出</w:t>
      </w:r>
      <w:r>
        <w:rPr>
          <w:rFonts w:hint="eastAsia" w:ascii="仿宋_GB2312" w:hAnsi="微软雅黑" w:eastAsia="仿宋_GB2312"/>
          <w:color w:val="000000" w:themeColor="text1"/>
          <w:sz w:val="25"/>
          <w:szCs w:val="25"/>
          <w:lang w:val="en-US" w:eastAsia="zh-CN"/>
          <w14:textFill>
            <w14:solidFill>
              <w14:schemeClr w14:val="tx1"/>
            </w14:solidFill>
          </w14:textFill>
        </w:rPr>
        <w:t>68.46</w:t>
      </w:r>
      <w:r>
        <w:rPr>
          <w:rFonts w:hint="eastAsia" w:ascii="仿宋_GB2312" w:hAnsi="微软雅黑" w:eastAsia="仿宋_GB2312"/>
          <w:color w:val="000000" w:themeColor="text1"/>
          <w:sz w:val="25"/>
          <w:szCs w:val="25"/>
          <w14:textFill>
            <w14:solidFill>
              <w14:schemeClr w14:val="tx1"/>
            </w14:solidFill>
          </w14:textFill>
        </w:rPr>
        <w:t>万元</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占0.98%</w:t>
      </w:r>
      <w:r>
        <w:rPr>
          <w:rFonts w:hint="eastAsia" w:ascii="仿宋_GB2312" w:hAnsi="微软雅黑" w:eastAsia="仿宋_GB2312"/>
          <w:color w:val="000000" w:themeColor="text1"/>
          <w:sz w:val="25"/>
          <w:szCs w:val="25"/>
          <w14:textFill>
            <w14:solidFill>
              <w14:schemeClr w14:val="tx1"/>
            </w14:solidFill>
          </w14:textFill>
        </w:rPr>
        <w:t>、卫生健康支出1</w:t>
      </w:r>
      <w:r>
        <w:rPr>
          <w:rFonts w:hint="eastAsia" w:ascii="仿宋_GB2312" w:hAnsi="微软雅黑" w:eastAsia="仿宋_GB2312"/>
          <w:color w:val="000000" w:themeColor="text1"/>
          <w:sz w:val="25"/>
          <w:szCs w:val="25"/>
          <w:lang w:val="en-US" w:eastAsia="zh-CN"/>
          <w14:textFill>
            <w14:solidFill>
              <w14:schemeClr w14:val="tx1"/>
            </w14:solidFill>
          </w14:textFill>
        </w:rPr>
        <w:t>6.52</w:t>
      </w:r>
      <w:r>
        <w:rPr>
          <w:rFonts w:hint="eastAsia" w:ascii="仿宋_GB2312" w:hAnsi="微软雅黑" w:eastAsia="仿宋_GB2312"/>
          <w:color w:val="000000" w:themeColor="text1"/>
          <w:sz w:val="25"/>
          <w:szCs w:val="25"/>
          <w14:textFill>
            <w14:solidFill>
              <w14:schemeClr w14:val="tx1"/>
            </w14:solidFill>
          </w14:textFill>
        </w:rPr>
        <w:t>万元</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占0.24%</w:t>
      </w:r>
      <w:r>
        <w:rPr>
          <w:rFonts w:hint="eastAsia" w:ascii="仿宋_GB2312" w:hAnsi="微软雅黑" w:eastAsia="仿宋_GB2312"/>
          <w:color w:val="000000" w:themeColor="text1"/>
          <w:sz w:val="25"/>
          <w:szCs w:val="25"/>
          <w14:textFill>
            <w14:solidFill>
              <w14:schemeClr w14:val="tx1"/>
            </w14:solidFill>
          </w14:textFill>
        </w:rPr>
        <w:t>、节能环保支出6</w:t>
      </w:r>
      <w:r>
        <w:rPr>
          <w:rFonts w:hint="eastAsia" w:ascii="仿宋_GB2312" w:hAnsi="微软雅黑" w:eastAsia="仿宋_GB2312"/>
          <w:color w:val="000000" w:themeColor="text1"/>
          <w:sz w:val="25"/>
          <w:szCs w:val="25"/>
          <w:lang w:val="en-US" w:eastAsia="zh-CN"/>
          <w14:textFill>
            <w14:solidFill>
              <w14:schemeClr w14:val="tx1"/>
            </w14:solidFill>
          </w14:textFill>
        </w:rPr>
        <w:t>383.99</w:t>
      </w:r>
      <w:r>
        <w:rPr>
          <w:rFonts w:hint="eastAsia" w:ascii="仿宋_GB2312" w:hAnsi="微软雅黑" w:eastAsia="仿宋_GB2312"/>
          <w:color w:val="000000" w:themeColor="text1"/>
          <w:sz w:val="25"/>
          <w:szCs w:val="25"/>
          <w14:textFill>
            <w14:solidFill>
              <w14:schemeClr w14:val="tx1"/>
            </w14:solidFill>
          </w14:textFill>
        </w:rPr>
        <w:t>万元</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占91.85%</w:t>
      </w:r>
      <w:r>
        <w:rPr>
          <w:rFonts w:hint="eastAsia" w:ascii="仿宋_GB2312" w:hAnsi="微软雅黑" w:eastAsia="仿宋_GB2312"/>
          <w:color w:val="000000" w:themeColor="text1"/>
          <w:sz w:val="25"/>
          <w:szCs w:val="25"/>
          <w14:textFill>
            <w14:solidFill>
              <w14:schemeClr w14:val="tx1"/>
            </w14:solidFill>
          </w14:textFill>
        </w:rPr>
        <w:t>、农林水支出</w:t>
      </w:r>
      <w:r>
        <w:rPr>
          <w:rFonts w:hint="eastAsia" w:ascii="仿宋_GB2312" w:hAnsi="微软雅黑" w:eastAsia="仿宋_GB2312"/>
          <w:color w:val="000000" w:themeColor="text1"/>
          <w:sz w:val="25"/>
          <w:szCs w:val="25"/>
          <w:lang w:val="en-US" w:eastAsia="zh-CN"/>
          <w14:textFill>
            <w14:solidFill>
              <w14:schemeClr w14:val="tx1"/>
            </w14:solidFill>
          </w14:textFill>
        </w:rPr>
        <w:t>529.68</w:t>
      </w:r>
      <w:r>
        <w:rPr>
          <w:rFonts w:hint="eastAsia" w:ascii="仿宋_GB2312" w:hAnsi="微软雅黑" w:eastAsia="仿宋_GB2312"/>
          <w:color w:val="000000" w:themeColor="text1"/>
          <w:sz w:val="25"/>
          <w:szCs w:val="25"/>
          <w14:textFill>
            <w14:solidFill>
              <w14:schemeClr w14:val="tx1"/>
            </w14:solidFill>
          </w14:textFill>
        </w:rPr>
        <w:t>万元</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占7.62%</w:t>
      </w:r>
      <w:r>
        <w:rPr>
          <w:rFonts w:hint="eastAsia" w:ascii="仿宋_GB2312" w:hAnsi="微软雅黑" w:eastAsia="仿宋_GB2312"/>
          <w:color w:val="000000" w:themeColor="text1"/>
          <w:sz w:val="25"/>
          <w:szCs w:val="25"/>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交通运输支出22.17万元，占0.32%、</w:t>
      </w:r>
      <w:r>
        <w:rPr>
          <w:rFonts w:hint="eastAsia" w:ascii="仿宋_GB2312" w:hAnsi="微软雅黑" w:eastAsia="仿宋_GB2312"/>
          <w:color w:val="000000" w:themeColor="text1"/>
          <w:sz w:val="25"/>
          <w:szCs w:val="25"/>
          <w14:textFill>
            <w14:solidFill>
              <w14:schemeClr w14:val="tx1"/>
            </w14:solidFill>
          </w14:textFill>
        </w:rPr>
        <w:t>住房保障支出</w:t>
      </w:r>
      <w:r>
        <w:rPr>
          <w:rFonts w:hint="eastAsia" w:ascii="仿宋_GB2312" w:hAnsi="微软雅黑" w:eastAsia="仿宋_GB2312"/>
          <w:color w:val="000000" w:themeColor="text1"/>
          <w:sz w:val="25"/>
          <w:szCs w:val="25"/>
          <w:lang w:val="en-US" w:eastAsia="zh-CN"/>
          <w14:textFill>
            <w14:solidFill>
              <w14:schemeClr w14:val="tx1"/>
            </w14:solidFill>
          </w14:textFill>
        </w:rPr>
        <w:t>30.01</w:t>
      </w:r>
      <w:r>
        <w:rPr>
          <w:rFonts w:hint="eastAsia" w:ascii="仿宋_GB2312" w:hAnsi="微软雅黑" w:eastAsia="仿宋_GB2312"/>
          <w:color w:val="000000" w:themeColor="text1"/>
          <w:sz w:val="25"/>
          <w:szCs w:val="25"/>
          <w14:textFill>
            <w14:solidFill>
              <w14:schemeClr w14:val="tx1"/>
            </w14:solidFill>
          </w14:textFill>
        </w:rPr>
        <w:t>万元</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占0.43%</w:t>
      </w:r>
      <w:r>
        <w:rPr>
          <w:rFonts w:hint="eastAsia" w:ascii="仿宋_GB2312" w:hAnsi="微软雅黑" w:eastAsia="仿宋_GB2312"/>
          <w:color w:val="000000" w:themeColor="text1"/>
          <w:sz w:val="25"/>
          <w:szCs w:val="25"/>
          <w14:textFill>
            <w14:solidFill>
              <w14:schemeClr w14:val="tx1"/>
            </w14:solidFill>
          </w14:textFill>
        </w:rPr>
        <w:t>。</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楷体" w:hAnsi="楷体" w:eastAsia="楷体"/>
          <w:color w:val="000000" w:themeColor="text1"/>
          <w:sz w:val="25"/>
          <w:szCs w:val="25"/>
          <w14:textFill>
            <w14:solidFill>
              <w14:schemeClr w14:val="tx1"/>
            </w14:solidFill>
          </w14:textFill>
        </w:rPr>
        <w:t>（三）一般公共预算当年拨款具体使用情况</w:t>
      </w:r>
    </w:p>
    <w:p>
      <w:pPr>
        <w:pStyle w:val="4"/>
        <w:shd w:val="clear" w:color="auto" w:fill="FFFFFF"/>
        <w:ind w:firstLine="516"/>
        <w:rPr>
          <w:rFonts w:hint="eastAsia" w:cs="MS Mincho" w:asciiTheme="minorEastAsia" w:hAnsiTheme="minorEastAsia" w:eastAsiaTheme="minorEastAsia"/>
          <w:color w:val="000000" w:themeColor="text1"/>
          <w:sz w:val="25"/>
          <w:szCs w:val="25"/>
          <w:lang w:eastAsia="zh-CN"/>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1.社会保障和就业（类）行政事业单位养老（款）机关事业单位基本养老保险缴费支出（项）202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w:t>
      </w:r>
      <w:r>
        <w:rPr>
          <w:rFonts w:hint="eastAsia" w:ascii="仿宋_GB2312" w:hAnsi="微软雅黑" w:eastAsia="仿宋_GB2312"/>
          <w:color w:val="000000" w:themeColor="text1"/>
          <w:sz w:val="25"/>
          <w:szCs w:val="25"/>
          <w:lang w:val="en-US" w:eastAsia="zh-CN"/>
          <w14:textFill>
            <w14:solidFill>
              <w14:schemeClr w14:val="tx1"/>
            </w14:solidFill>
          </w14:textFill>
        </w:rPr>
        <w:t>36.46</w:t>
      </w:r>
      <w:r>
        <w:rPr>
          <w:rFonts w:hint="eastAsia" w:ascii="仿宋_GB2312" w:hAnsi="微软雅黑" w:eastAsia="仿宋_GB2312"/>
          <w:color w:val="000000" w:themeColor="text1"/>
          <w:sz w:val="25"/>
          <w:szCs w:val="25"/>
          <w14:textFill>
            <w14:solidFill>
              <w14:schemeClr w14:val="tx1"/>
            </w14:solidFill>
          </w14:textFill>
        </w:rPr>
        <w:t>万元，比上年预算数</w:t>
      </w:r>
      <w:r>
        <w:rPr>
          <w:rFonts w:hint="eastAsia" w:ascii="仿宋_GB2312" w:hAnsi="微软雅黑" w:eastAsia="仿宋_GB2312"/>
          <w:color w:val="000000" w:themeColor="text1"/>
          <w:sz w:val="25"/>
          <w:szCs w:val="25"/>
          <w:lang w:val="en-US" w:eastAsia="zh-CN"/>
          <w14:textFill>
            <w14:solidFill>
              <w14:schemeClr w14:val="tx1"/>
            </w14:solidFill>
          </w14:textFill>
        </w:rPr>
        <w:t>增加2.74</w:t>
      </w:r>
      <w:r>
        <w:rPr>
          <w:rFonts w:hint="eastAsia" w:ascii="仿宋_GB2312" w:hAnsi="微软雅黑" w:eastAsia="仿宋_GB2312"/>
          <w:color w:val="000000" w:themeColor="text1"/>
          <w:sz w:val="25"/>
          <w:szCs w:val="25"/>
          <w14:textFill>
            <w14:solidFill>
              <w14:schemeClr w14:val="tx1"/>
            </w14:solidFill>
          </w14:textFill>
        </w:rPr>
        <w:t>万元，主要原因是</w:t>
      </w:r>
      <w:r>
        <w:rPr>
          <w:rFonts w:hint="eastAsia" w:ascii="仿宋_GB2312" w:hAnsi="微软雅黑" w:eastAsia="仿宋_GB2312"/>
          <w:color w:val="000000" w:themeColor="text1"/>
          <w:sz w:val="25"/>
          <w:szCs w:val="25"/>
          <w:lang w:val="en-US" w:eastAsia="zh-CN"/>
          <w14:textFill>
            <w14:solidFill>
              <w14:schemeClr w14:val="tx1"/>
            </w14:solidFill>
          </w14:textFill>
        </w:rPr>
        <w:t>2023年事业单位</w:t>
      </w:r>
      <w:r>
        <w:rPr>
          <w:rFonts w:hint="eastAsia" w:ascii="仿宋_GB2312" w:hAnsi="微软雅黑" w:eastAsia="仿宋_GB2312"/>
          <w:color w:val="000000" w:themeColor="text1"/>
          <w:sz w:val="25"/>
          <w:szCs w:val="25"/>
          <w14:textFill>
            <w14:solidFill>
              <w14:schemeClr w14:val="tx1"/>
            </w14:solidFill>
          </w14:textFill>
        </w:rPr>
        <w:t>人员正常调资等影响缴费基数</w:t>
      </w:r>
      <w:r>
        <w:rPr>
          <w:rFonts w:hint="eastAsia" w:cs="MS Mincho" w:asciiTheme="minorEastAsia" w:hAnsiTheme="minorEastAsia" w:eastAsiaTheme="minorEastAsia"/>
          <w:color w:val="000000" w:themeColor="text1"/>
          <w:sz w:val="25"/>
          <w:szCs w:val="25"/>
          <w14:textFill>
            <w14:solidFill>
              <w14:schemeClr w14:val="tx1"/>
            </w14:solidFill>
          </w14:textFill>
        </w:rPr>
        <w:t>增加</w:t>
      </w:r>
      <w:r>
        <w:rPr>
          <w:rFonts w:hint="eastAsia" w:cs="MS Mincho" w:asciiTheme="minorEastAsia" w:hAnsiTheme="minorEastAsia" w:eastAsiaTheme="minorEastAsia"/>
          <w:color w:val="000000" w:themeColor="text1"/>
          <w:sz w:val="25"/>
          <w:szCs w:val="25"/>
          <w:lang w:eastAsia="zh-CN"/>
          <w14:textFill>
            <w14:solidFill>
              <w14:schemeClr w14:val="tx1"/>
            </w14:solidFill>
          </w14:textFill>
        </w:rPr>
        <w:t>。</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2.社会保障和就业（类）行政事业单位养老（款）机关事业单位职业年金缴费支出（项）202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w:t>
      </w:r>
      <w:r>
        <w:rPr>
          <w:rFonts w:hint="eastAsia" w:ascii="仿宋_GB2312" w:hAnsi="微软雅黑" w:eastAsia="仿宋_GB2312"/>
          <w:color w:val="000000" w:themeColor="text1"/>
          <w:sz w:val="25"/>
          <w:szCs w:val="25"/>
          <w:lang w:val="en-US" w:eastAsia="zh-CN"/>
          <w14:textFill>
            <w14:solidFill>
              <w14:schemeClr w14:val="tx1"/>
            </w14:solidFill>
          </w14:textFill>
        </w:rPr>
        <w:t>31.99</w:t>
      </w:r>
      <w:r>
        <w:rPr>
          <w:rFonts w:hint="eastAsia" w:ascii="仿宋_GB2312" w:hAnsi="微软雅黑" w:eastAsia="仿宋_GB2312"/>
          <w:color w:val="000000" w:themeColor="text1"/>
          <w:sz w:val="25"/>
          <w:szCs w:val="25"/>
          <w14:textFill>
            <w14:solidFill>
              <w14:schemeClr w14:val="tx1"/>
            </w14:solidFill>
          </w14:textFill>
        </w:rPr>
        <w:t>万元，比上年预算数增加</w:t>
      </w:r>
      <w:r>
        <w:rPr>
          <w:rFonts w:hint="eastAsia" w:ascii="仿宋_GB2312" w:hAnsi="微软雅黑" w:eastAsia="仿宋_GB2312"/>
          <w:color w:val="000000" w:themeColor="text1"/>
          <w:sz w:val="25"/>
          <w:szCs w:val="25"/>
          <w:lang w:val="en-US" w:eastAsia="zh-CN"/>
          <w14:textFill>
            <w14:solidFill>
              <w14:schemeClr w14:val="tx1"/>
            </w14:solidFill>
          </w14:textFill>
        </w:rPr>
        <w:t>15.55</w:t>
      </w:r>
      <w:r>
        <w:rPr>
          <w:rFonts w:hint="eastAsia" w:ascii="仿宋_GB2312" w:hAnsi="微软雅黑" w:eastAsia="仿宋_GB2312"/>
          <w:color w:val="000000" w:themeColor="text1"/>
          <w:sz w:val="25"/>
          <w:szCs w:val="25"/>
          <w14:textFill>
            <w14:solidFill>
              <w14:schemeClr w14:val="tx1"/>
            </w14:solidFill>
          </w14:textFill>
        </w:rPr>
        <w:t>万元，主要原因是</w:t>
      </w:r>
      <w:r>
        <w:rPr>
          <w:rFonts w:hint="eastAsia" w:ascii="仿宋_GB2312" w:hAnsi="微软雅黑" w:eastAsia="仿宋_GB2312"/>
          <w:color w:val="000000" w:themeColor="text1"/>
          <w:sz w:val="25"/>
          <w:szCs w:val="25"/>
          <w:lang w:val="en-US" w:eastAsia="zh-CN"/>
          <w14:textFill>
            <w14:solidFill>
              <w14:schemeClr w14:val="tx1"/>
            </w14:solidFill>
          </w14:textFill>
        </w:rPr>
        <w:t>2023年测算增加补缴2018-2021年机关事业单位应记实职业年金缴费</w:t>
      </w:r>
      <w:r>
        <w:rPr>
          <w:rFonts w:hint="eastAsia" w:ascii="仿宋_GB2312" w:hAnsi="微软雅黑" w:eastAsia="仿宋_GB2312"/>
          <w:color w:val="000000" w:themeColor="text1"/>
          <w:sz w:val="25"/>
          <w:szCs w:val="25"/>
          <w14:textFill>
            <w14:solidFill>
              <w14:schemeClr w14:val="tx1"/>
            </w14:solidFill>
          </w14:textFill>
        </w:rPr>
        <w:t>。</w:t>
      </w:r>
    </w:p>
    <w:p>
      <w:pPr>
        <w:pStyle w:val="4"/>
        <w:shd w:val="clear" w:color="auto" w:fill="FFFFFF"/>
        <w:ind w:firstLine="516"/>
        <w:rPr>
          <w:rFonts w:hint="eastAsia" w:ascii="仿宋_GB2312" w:hAnsi="微软雅黑" w:eastAsia="仿宋_GB2312"/>
          <w:color w:val="000000" w:themeColor="text1"/>
          <w:sz w:val="25"/>
          <w:szCs w:val="25"/>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.卫生健康（类）行政事业单位医疗（款）事业单位医疗（项）202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w:t>
      </w:r>
      <w:r>
        <w:rPr>
          <w:rFonts w:hint="eastAsia" w:ascii="仿宋_GB2312" w:hAnsi="微软雅黑" w:eastAsia="仿宋_GB2312"/>
          <w:color w:val="000000" w:themeColor="text1"/>
          <w:sz w:val="25"/>
          <w:szCs w:val="25"/>
          <w:lang w:val="en-US" w:eastAsia="zh-CN"/>
          <w14:textFill>
            <w14:solidFill>
              <w14:schemeClr w14:val="tx1"/>
            </w14:solidFill>
          </w14:textFill>
        </w:rPr>
        <w:t>16.52</w:t>
      </w:r>
      <w:r>
        <w:rPr>
          <w:rFonts w:hint="eastAsia" w:ascii="仿宋_GB2312" w:hAnsi="微软雅黑" w:eastAsia="仿宋_GB2312"/>
          <w:color w:val="000000" w:themeColor="text1"/>
          <w:sz w:val="25"/>
          <w:szCs w:val="25"/>
          <w14:textFill>
            <w14:solidFill>
              <w14:schemeClr w14:val="tx1"/>
            </w14:solidFill>
          </w14:textFill>
        </w:rPr>
        <w:t>万元，比上年预算数减少</w:t>
      </w:r>
      <w:r>
        <w:rPr>
          <w:rFonts w:hint="eastAsia" w:ascii="仿宋_GB2312" w:hAnsi="微软雅黑" w:eastAsia="仿宋_GB2312"/>
          <w:color w:val="000000" w:themeColor="text1"/>
          <w:sz w:val="25"/>
          <w:szCs w:val="25"/>
          <w:lang w:val="en-US" w:eastAsia="zh-CN"/>
          <w14:textFill>
            <w14:solidFill>
              <w14:schemeClr w14:val="tx1"/>
            </w14:solidFill>
          </w14:textFill>
        </w:rPr>
        <w:t>1.39</w:t>
      </w:r>
      <w:r>
        <w:rPr>
          <w:rFonts w:hint="eastAsia" w:ascii="仿宋_GB2312" w:hAnsi="微软雅黑" w:eastAsia="仿宋_GB2312"/>
          <w:color w:val="000000" w:themeColor="text1"/>
          <w:sz w:val="25"/>
          <w:szCs w:val="25"/>
          <w14:textFill>
            <w14:solidFill>
              <w14:schemeClr w14:val="tx1"/>
            </w14:solidFill>
          </w14:textFill>
        </w:rPr>
        <w:t>万元，主要原因是人员正常调资等影响缴费基数</w:t>
      </w:r>
      <w:r>
        <w:rPr>
          <w:rFonts w:hint="eastAsia" w:ascii="仿宋_GB2312" w:hAnsi="微软雅黑" w:eastAsia="仿宋_GB2312"/>
          <w:color w:val="000000" w:themeColor="text1"/>
          <w:sz w:val="25"/>
          <w:szCs w:val="25"/>
          <w:lang w:val="en-US" w:eastAsia="zh-CN"/>
          <w14:textFill>
            <w14:solidFill>
              <w14:schemeClr w14:val="tx1"/>
            </w14:solidFill>
          </w14:textFill>
        </w:rPr>
        <w:t>减少</w:t>
      </w:r>
      <w:r>
        <w:rPr>
          <w:rFonts w:hint="eastAsia" w:ascii="仿宋_GB2312" w:hAnsi="微软雅黑" w:eastAsia="仿宋_GB2312"/>
          <w:color w:val="000000" w:themeColor="text1"/>
          <w:sz w:val="25"/>
          <w:szCs w:val="25"/>
          <w14:textFill>
            <w14:solidFill>
              <w14:schemeClr w14:val="tx1"/>
            </w14:solidFill>
          </w14:textFill>
        </w:rPr>
        <w:t>，导致总体减少。</w:t>
      </w:r>
    </w:p>
    <w:p>
      <w:pPr>
        <w:pStyle w:val="4"/>
        <w:shd w:val="clear" w:color="auto" w:fill="FFFFFF"/>
        <w:ind w:firstLine="516"/>
        <w:rPr>
          <w:rFonts w:hint="default" w:ascii="仿宋_GB2312" w:hAnsi="微软雅黑" w:eastAsia="仿宋_GB2312"/>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4</w:t>
      </w:r>
      <w:r>
        <w:rPr>
          <w:rFonts w:hint="eastAsia" w:ascii="仿宋_GB2312" w:hAnsi="微软雅黑" w:eastAsia="仿宋_GB2312"/>
          <w:color w:val="000000" w:themeColor="text1"/>
          <w:sz w:val="25"/>
          <w:szCs w:val="25"/>
          <w14:textFill>
            <w14:solidFill>
              <w14:schemeClr w14:val="tx1"/>
            </w14:solidFill>
          </w14:textFill>
        </w:rPr>
        <w:t>．节能环保（类）自然生态保护</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款</w:t>
      </w:r>
      <w:r>
        <w:rPr>
          <w:rFonts w:hint="eastAsia" w:ascii="仿宋_GB2312" w:hAnsi="微软雅黑" w:eastAsia="仿宋_GB2312"/>
          <w:color w:val="000000" w:themeColor="text1"/>
          <w:sz w:val="25"/>
          <w:szCs w:val="25"/>
          <w:lang w:eastAsia="zh-CN"/>
          <w14:textFill>
            <w14:solidFill>
              <w14:schemeClr w14:val="tx1"/>
            </w14:solidFill>
          </w14:textFill>
        </w:rPr>
        <w:t>）生态保护（</w:t>
      </w:r>
      <w:r>
        <w:rPr>
          <w:rFonts w:hint="eastAsia" w:ascii="仿宋_GB2312" w:hAnsi="微软雅黑" w:eastAsia="仿宋_GB2312"/>
          <w:color w:val="000000" w:themeColor="text1"/>
          <w:sz w:val="25"/>
          <w:szCs w:val="25"/>
          <w:lang w:val="en-US" w:eastAsia="zh-CN"/>
          <w14:textFill>
            <w14:solidFill>
              <w14:schemeClr w14:val="tx1"/>
            </w14:solidFill>
          </w14:textFill>
        </w:rPr>
        <w:t>项</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2023年预算数359.16万元，主要原因是2023年单位申报生态体系支撑项目下达资金。</w:t>
      </w:r>
    </w:p>
    <w:p>
      <w:pPr>
        <w:pStyle w:val="4"/>
        <w:keepNext w:val="0"/>
        <w:keepLines w:val="0"/>
        <w:pageBreakBefore w:val="0"/>
        <w:widowControl/>
        <w:shd w:val="clear" w:color="auto" w:fill="FFFFFF"/>
        <w:kinsoku/>
        <w:wordWrap/>
        <w:overflowPunct/>
        <w:topLinePunct w:val="0"/>
        <w:autoSpaceDE/>
        <w:autoSpaceDN/>
        <w:bidi w:val="0"/>
        <w:adjustRightInd/>
        <w:snapToGrid/>
        <w:spacing w:line="480" w:lineRule="auto"/>
        <w:ind w:firstLine="527"/>
        <w:textAlignment w:val="auto"/>
        <w:rPr>
          <w:rFonts w:hint="default" w:ascii="仿宋" w:hAnsi="仿宋" w:eastAsia="仿宋" w:cs="仿宋"/>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5.</w:t>
      </w:r>
      <w:r>
        <w:rPr>
          <w:rFonts w:hint="eastAsia" w:ascii="仿宋_GB2312" w:hAnsi="微软雅黑" w:eastAsia="仿宋_GB2312"/>
          <w:color w:val="000000" w:themeColor="text1"/>
          <w:sz w:val="25"/>
          <w:szCs w:val="25"/>
          <w14:textFill>
            <w14:solidFill>
              <w14:schemeClr w14:val="tx1"/>
            </w14:solidFill>
          </w14:textFill>
        </w:rPr>
        <w:t>节能环保（类）自然生态保护</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款</w:t>
      </w:r>
      <w:r>
        <w:rPr>
          <w:rFonts w:hint="eastAsia" w:ascii="仿宋_GB2312" w:hAnsi="微软雅黑" w:eastAsia="仿宋_GB2312"/>
          <w:color w:val="000000" w:themeColor="text1"/>
          <w:sz w:val="25"/>
          <w:szCs w:val="25"/>
          <w:lang w:eastAsia="zh-CN"/>
          <w14:textFill>
            <w14:solidFill>
              <w14:schemeClr w14:val="tx1"/>
            </w14:solidFill>
          </w14:textFill>
        </w:rPr>
        <w:t>）自然保护地（</w:t>
      </w:r>
      <w:r>
        <w:rPr>
          <w:rFonts w:hint="eastAsia" w:ascii="仿宋_GB2312" w:hAnsi="微软雅黑" w:eastAsia="仿宋_GB2312"/>
          <w:color w:val="000000" w:themeColor="text1"/>
          <w:sz w:val="25"/>
          <w:szCs w:val="25"/>
          <w:lang w:val="en-US" w:eastAsia="zh-CN"/>
          <w14:textFill>
            <w14:solidFill>
              <w14:schemeClr w14:val="tx1"/>
            </w14:solidFill>
          </w14:textFill>
        </w:rPr>
        <w:t>项</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2023年预算数3,096.98万元，主要原因是2023年单位结转结余2022年林业生态保护恢复资金1209.13万元，其中社区协调与宣教项目20万元，</w:t>
      </w:r>
      <w:r>
        <w:rPr>
          <w:rFonts w:hint="eastAsia" w:ascii="仿宋" w:hAnsi="仿宋" w:eastAsia="仿宋" w:cs="仿宋"/>
          <w:color w:val="000000" w:themeColor="text1"/>
          <w:sz w:val="24"/>
          <w:szCs w:val="24"/>
          <w14:textFill>
            <w14:solidFill>
              <w14:schemeClr w14:val="tx1"/>
            </w14:solidFill>
          </w14:textFill>
        </w:rPr>
        <w:t>海南热带雨林国家公园管理局尖峰岭分局退化林近自然修复项目</w:t>
      </w:r>
      <w:r>
        <w:rPr>
          <w:rFonts w:hint="eastAsia" w:ascii="仿宋" w:hAnsi="仿宋" w:eastAsia="仿宋" w:cs="仿宋"/>
          <w:color w:val="000000" w:themeColor="text1"/>
          <w:sz w:val="24"/>
          <w:szCs w:val="24"/>
          <w:lang w:val="en-US" w:eastAsia="zh-CN"/>
          <w14:textFill>
            <w14:solidFill>
              <w14:schemeClr w14:val="tx1"/>
            </w14:solidFill>
          </w14:textFill>
        </w:rPr>
        <w:t>357.11万元，</w:t>
      </w:r>
      <w:r>
        <w:rPr>
          <w:rFonts w:hint="eastAsia" w:ascii="仿宋" w:hAnsi="仿宋" w:eastAsia="仿宋" w:cs="仿宋"/>
          <w:color w:val="000000" w:themeColor="text1"/>
          <w:sz w:val="24"/>
          <w:szCs w:val="24"/>
          <w14:textFill>
            <w14:solidFill>
              <w14:schemeClr w14:val="tx1"/>
            </w14:solidFill>
          </w14:textFill>
        </w:rPr>
        <w:t>尖峰岭中沙管理站金钟藤防治区域生态修复</w:t>
      </w:r>
      <w:r>
        <w:rPr>
          <w:rFonts w:hint="eastAsia" w:ascii="仿宋" w:hAnsi="仿宋" w:eastAsia="仿宋" w:cs="仿宋"/>
          <w:color w:val="000000" w:themeColor="text1"/>
          <w:sz w:val="24"/>
          <w:szCs w:val="24"/>
          <w:lang w:val="en-US" w:eastAsia="zh-CN"/>
          <w14:textFill>
            <w14:solidFill>
              <w14:schemeClr w14:val="tx1"/>
            </w14:solidFill>
          </w14:textFill>
        </w:rPr>
        <w:t>302.98万元，</w:t>
      </w:r>
      <w:r>
        <w:rPr>
          <w:rFonts w:hint="eastAsia" w:ascii="仿宋" w:hAnsi="仿宋" w:eastAsia="仿宋" w:cs="仿宋"/>
          <w:color w:val="000000" w:themeColor="text1"/>
          <w:sz w:val="24"/>
          <w:szCs w:val="24"/>
          <w14:textFill>
            <w14:solidFill>
              <w14:schemeClr w14:val="tx1"/>
            </w14:solidFill>
          </w14:textFill>
        </w:rPr>
        <w:t>林业有害生物防治项目</w:t>
      </w:r>
      <w:r>
        <w:rPr>
          <w:rFonts w:hint="eastAsia" w:ascii="仿宋" w:hAnsi="仿宋" w:eastAsia="仿宋" w:cs="仿宋"/>
          <w:color w:val="000000" w:themeColor="text1"/>
          <w:sz w:val="24"/>
          <w:szCs w:val="24"/>
          <w:lang w:val="en-US" w:eastAsia="zh-CN"/>
          <w14:textFill>
            <w14:solidFill>
              <w14:schemeClr w14:val="tx1"/>
            </w14:solidFill>
          </w14:textFill>
        </w:rPr>
        <w:t>15万元，林业生态保障性苗圃项目9.25万元，尖峰岭自然保护教育与生态体验栈道改造建设（一期）项目504.79万元</w:t>
      </w:r>
      <w:r>
        <w:rPr>
          <w:rFonts w:hint="eastAsia" w:ascii="仿宋" w:hAnsi="仿宋" w:eastAsia="仿宋" w:cs="仿宋"/>
          <w:color w:val="000000" w:themeColor="text1"/>
          <w:sz w:val="25"/>
          <w:szCs w:val="25"/>
          <w:lang w:val="en-US" w:eastAsia="zh-CN"/>
          <w14:textFill>
            <w14:solidFill>
              <w14:schemeClr w14:val="tx1"/>
            </w14:solidFill>
          </w14:textFill>
        </w:rPr>
        <w:t>。2023年预算热带雨林国家公园项目资金867.45万元，其中防火设备采购资金94.15万元，天池堤坝应急加固工程项目资金312万元，尖峰岭旅游步栈道、南崖瞭望塔科研监测、天池展示科研和访问中心，水鹿野放、坡鹿迁地工程其他费用461.30万元。2023年预算林业生态保护恢复资金1020.40万元，主要支出天然保护工程人员工资发放。</w:t>
      </w:r>
    </w:p>
    <w:p>
      <w:pPr>
        <w:pStyle w:val="4"/>
        <w:shd w:val="clear" w:color="auto" w:fill="FFFFFF"/>
        <w:ind w:firstLine="516"/>
        <w:rPr>
          <w:rFonts w:hint="default" w:ascii="仿宋_GB2312" w:hAnsi="微软雅黑" w:eastAsia="仿宋_GB2312"/>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6.</w:t>
      </w:r>
      <w:r>
        <w:rPr>
          <w:rFonts w:hint="eastAsia" w:ascii="仿宋_GB2312" w:hAnsi="微软雅黑" w:eastAsia="仿宋_GB2312"/>
          <w:color w:val="000000" w:themeColor="text1"/>
          <w:sz w:val="25"/>
          <w:szCs w:val="25"/>
          <w14:textFill>
            <w14:solidFill>
              <w14:schemeClr w14:val="tx1"/>
            </w14:solidFill>
          </w14:textFill>
        </w:rPr>
        <w:t>节能环保（类）天然林保护（款）森林管护（项）202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年预算数为2,390.16万元，比上年预算数</w:t>
      </w:r>
      <w:r>
        <w:rPr>
          <w:rFonts w:hint="eastAsia" w:ascii="仿宋_GB2312" w:hAnsi="微软雅黑" w:eastAsia="仿宋_GB2312"/>
          <w:color w:val="000000" w:themeColor="text1"/>
          <w:sz w:val="25"/>
          <w:szCs w:val="25"/>
          <w:lang w:val="en-US" w:eastAsia="zh-CN"/>
          <w14:textFill>
            <w14:solidFill>
              <w14:schemeClr w14:val="tx1"/>
            </w14:solidFill>
          </w14:textFill>
        </w:rPr>
        <w:t>增加203.86万</w:t>
      </w:r>
      <w:r>
        <w:rPr>
          <w:rFonts w:hint="eastAsia" w:ascii="仿宋_GB2312" w:hAnsi="微软雅黑" w:eastAsia="仿宋_GB2312"/>
          <w:color w:val="000000" w:themeColor="text1"/>
          <w:sz w:val="25"/>
          <w:szCs w:val="25"/>
          <w14:textFill>
            <w14:solidFill>
              <w14:schemeClr w14:val="tx1"/>
            </w14:solidFill>
          </w14:textFill>
        </w:rPr>
        <w:t>元</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主要原因是2023年林业生态保护恢复资金（天然林保护工程公园外）支出经济分类调整到该款项，故增加中央资金预算数为269.60万元，同时2022年天然林保护工程林业改革发展资金省级资金为2120.56万元，比去年省级资金2186.3万元，减少65.74万元。</w:t>
      </w:r>
    </w:p>
    <w:p>
      <w:pPr>
        <w:pStyle w:val="4"/>
        <w:shd w:val="clear" w:color="auto" w:fill="FFFFFF"/>
        <w:ind w:firstLine="516"/>
        <w:rPr>
          <w:rFonts w:hint="default" w:ascii="仿宋_GB2312" w:hAnsi="微软雅黑" w:eastAsia="仿宋_GB2312"/>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 xml:space="preserve"> </w:t>
      </w:r>
      <w:r>
        <w:rPr>
          <w:rFonts w:hint="eastAsia" w:ascii="仿宋_GB2312" w:hAnsi="微软雅黑" w:eastAsia="仿宋_GB2312"/>
          <w:color w:val="000000" w:themeColor="text1"/>
          <w:sz w:val="25"/>
          <w:szCs w:val="25"/>
          <w:lang w:val="en-US" w:eastAsia="zh-CN"/>
          <w14:textFill>
            <w14:solidFill>
              <w14:schemeClr w14:val="tx1"/>
            </w14:solidFill>
          </w14:textFill>
        </w:rPr>
        <w:t>7</w:t>
      </w:r>
      <w:r>
        <w:rPr>
          <w:rFonts w:hint="eastAsia" w:ascii="仿宋_GB2312" w:hAnsi="微软雅黑" w:eastAsia="仿宋_GB2312"/>
          <w:color w:val="000000" w:themeColor="text1"/>
          <w:sz w:val="25"/>
          <w:szCs w:val="25"/>
          <w14:textFill>
            <w14:solidFill>
              <w14:schemeClr w14:val="tx1"/>
            </w14:solidFill>
          </w14:textFill>
        </w:rPr>
        <w:t>.节能环保（类）天然林保护（款）社会保险补助（项）202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年预算数为537.69万元，比上年预算数增加</w:t>
      </w:r>
      <w:r>
        <w:rPr>
          <w:rFonts w:hint="eastAsia" w:ascii="仿宋_GB2312" w:hAnsi="微软雅黑" w:eastAsia="仿宋_GB2312"/>
          <w:color w:val="000000" w:themeColor="text1"/>
          <w:sz w:val="25"/>
          <w:szCs w:val="25"/>
          <w:lang w:val="en-US" w:eastAsia="zh-CN"/>
          <w14:textFill>
            <w14:solidFill>
              <w14:schemeClr w14:val="tx1"/>
            </w14:solidFill>
          </w14:textFill>
        </w:rPr>
        <w:t>145.09</w:t>
      </w:r>
      <w:r>
        <w:rPr>
          <w:rFonts w:hint="eastAsia" w:ascii="仿宋_GB2312" w:hAnsi="微软雅黑" w:eastAsia="仿宋_GB2312"/>
          <w:color w:val="000000" w:themeColor="text1"/>
          <w:sz w:val="25"/>
          <w:szCs w:val="25"/>
          <w14:textFill>
            <w14:solidFill>
              <w14:schemeClr w14:val="tx1"/>
            </w14:solidFill>
          </w14:textFill>
        </w:rPr>
        <w:t>万元，主要是天</w:t>
      </w:r>
      <w:r>
        <w:rPr>
          <w:rFonts w:hint="eastAsia" w:ascii="仿宋_GB2312" w:hAnsi="微软雅黑" w:eastAsia="仿宋_GB2312"/>
          <w:color w:val="000000" w:themeColor="text1"/>
          <w:sz w:val="25"/>
          <w:szCs w:val="25"/>
          <w:lang w:val="en-US" w:eastAsia="zh-CN"/>
          <w14:textFill>
            <w14:solidFill>
              <w14:schemeClr w14:val="tx1"/>
            </w14:solidFill>
          </w14:textFill>
        </w:rPr>
        <w:t>主要原因是2023年单位结转结余2022年林业生态保护恢复资金（社会保险补助）中央资金95.11万元，2023年预算下达林业生态保护恢复资金（社会保险补助）中央资金329.9万元，2023年林业改革发展资金省级配套社会保险补助112.68万元。</w:t>
      </w:r>
    </w:p>
    <w:p>
      <w:pPr>
        <w:pStyle w:val="4"/>
        <w:shd w:val="clear" w:color="auto" w:fill="FFFFFF"/>
        <w:ind w:firstLine="516"/>
        <w:rPr>
          <w:rFonts w:hint="default" w:ascii="仿宋_GB2312" w:hAnsi="微软雅黑" w:eastAsia="仿宋_GB2312"/>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8</w:t>
      </w:r>
      <w:r>
        <w:rPr>
          <w:rFonts w:hint="eastAsia" w:ascii="仿宋_GB2312" w:hAnsi="微软雅黑" w:eastAsia="仿宋_GB2312"/>
          <w:color w:val="000000" w:themeColor="text1"/>
          <w:sz w:val="25"/>
          <w:szCs w:val="25"/>
          <w14:textFill>
            <w14:solidFill>
              <w14:schemeClr w14:val="tx1"/>
            </w14:solidFill>
          </w14:textFill>
        </w:rPr>
        <w:t>.农林水（类）林业和草原（款）事业机构（项）202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年预算数为390.57万元，比上年预算数减少</w:t>
      </w:r>
      <w:r>
        <w:rPr>
          <w:rFonts w:hint="eastAsia" w:ascii="仿宋_GB2312" w:hAnsi="微软雅黑" w:eastAsia="仿宋_GB2312"/>
          <w:color w:val="000000" w:themeColor="text1"/>
          <w:sz w:val="25"/>
          <w:szCs w:val="25"/>
          <w:lang w:val="en-US" w:eastAsia="zh-CN"/>
          <w14:textFill>
            <w14:solidFill>
              <w14:schemeClr w14:val="tx1"/>
            </w14:solidFill>
          </w14:textFill>
        </w:rPr>
        <w:t>28.47</w:t>
      </w:r>
      <w:r>
        <w:rPr>
          <w:rFonts w:hint="eastAsia" w:ascii="仿宋_GB2312" w:hAnsi="微软雅黑" w:eastAsia="仿宋_GB2312"/>
          <w:color w:val="000000" w:themeColor="text1"/>
          <w:sz w:val="25"/>
          <w:szCs w:val="25"/>
          <w14:textFill>
            <w14:solidFill>
              <w14:schemeClr w14:val="tx1"/>
            </w14:solidFill>
          </w14:textFill>
        </w:rPr>
        <w:t>元，</w:t>
      </w:r>
      <w:r>
        <w:rPr>
          <w:rFonts w:hint="eastAsia" w:ascii="仿宋_GB2312" w:hAnsi="微软雅黑" w:eastAsia="仿宋_GB2312"/>
          <w:color w:val="000000" w:themeColor="text1"/>
          <w:sz w:val="25"/>
          <w:szCs w:val="25"/>
          <w:lang w:val="en-US" w:eastAsia="zh-CN"/>
          <w14:textFill>
            <w14:solidFill>
              <w14:schemeClr w14:val="tx1"/>
            </w14:solidFill>
          </w14:textFill>
        </w:rPr>
        <w:t>主要原因：2022年2月有1人员调出本单位，故2023年预算减少。</w:t>
      </w:r>
    </w:p>
    <w:p>
      <w:pPr>
        <w:pStyle w:val="4"/>
        <w:shd w:val="clear" w:color="auto" w:fill="FFFFFF"/>
        <w:ind w:firstLine="516"/>
        <w:rPr>
          <w:rFonts w:hint="default" w:ascii="仿宋_GB2312" w:hAnsi="微软雅黑" w:eastAsia="仿宋_GB2312"/>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 xml:space="preserve"> </w:t>
      </w:r>
      <w:r>
        <w:rPr>
          <w:rFonts w:hint="eastAsia" w:ascii="仿宋_GB2312" w:hAnsi="微软雅黑" w:eastAsia="仿宋_GB2312"/>
          <w:color w:val="000000" w:themeColor="text1"/>
          <w:sz w:val="25"/>
          <w:szCs w:val="25"/>
          <w:lang w:val="en-US" w:eastAsia="zh-CN"/>
          <w14:textFill>
            <w14:solidFill>
              <w14:schemeClr w14:val="tx1"/>
            </w14:solidFill>
          </w14:textFill>
        </w:rPr>
        <w:t>9</w:t>
      </w:r>
      <w:r>
        <w:rPr>
          <w:rFonts w:hint="eastAsia" w:ascii="仿宋_GB2312" w:hAnsi="微软雅黑" w:eastAsia="仿宋_GB2312"/>
          <w:color w:val="000000" w:themeColor="text1"/>
          <w:sz w:val="25"/>
          <w:szCs w:val="25"/>
          <w14:textFill>
            <w14:solidFill>
              <w14:schemeClr w14:val="tx1"/>
            </w14:solidFill>
          </w14:textFill>
        </w:rPr>
        <w:t>.农林水（类）林业和草原（款）森林生态效益补偿（项）202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年预算数为39.11万元，比上年预算数减少</w:t>
      </w:r>
      <w:r>
        <w:rPr>
          <w:rFonts w:hint="eastAsia" w:ascii="仿宋_GB2312" w:hAnsi="微软雅黑" w:eastAsia="仿宋_GB2312"/>
          <w:color w:val="000000" w:themeColor="text1"/>
          <w:sz w:val="25"/>
          <w:szCs w:val="25"/>
          <w:lang w:val="en-US" w:eastAsia="zh-CN"/>
          <w14:textFill>
            <w14:solidFill>
              <w14:schemeClr w14:val="tx1"/>
            </w14:solidFill>
          </w14:textFill>
        </w:rPr>
        <w:t>1148</w:t>
      </w:r>
      <w:r>
        <w:rPr>
          <w:rFonts w:hint="eastAsia" w:ascii="仿宋_GB2312" w:hAnsi="微软雅黑" w:eastAsia="仿宋_GB2312"/>
          <w:color w:val="000000" w:themeColor="text1"/>
          <w:sz w:val="25"/>
          <w:szCs w:val="25"/>
          <w14:textFill>
            <w14:solidFill>
              <w14:schemeClr w14:val="tx1"/>
            </w14:solidFill>
          </w14:textFill>
        </w:rPr>
        <w:t>万元，主要原因是</w:t>
      </w:r>
      <w:r>
        <w:rPr>
          <w:rFonts w:hint="eastAsia" w:ascii="仿宋_GB2312" w:hAnsi="微软雅黑" w:eastAsia="仿宋_GB2312"/>
          <w:color w:val="000000" w:themeColor="text1"/>
          <w:sz w:val="25"/>
          <w:szCs w:val="25"/>
          <w:lang w:val="en-US" w:eastAsia="zh-CN"/>
          <w14:textFill>
            <w14:solidFill>
              <w14:schemeClr w14:val="tx1"/>
            </w14:solidFill>
          </w14:textFill>
        </w:rPr>
        <w:t>天然林保护工程支出经济分类调整到</w:t>
      </w:r>
      <w:r>
        <w:rPr>
          <w:rFonts w:hint="eastAsia" w:ascii="仿宋_GB2312" w:hAnsi="微软雅黑" w:eastAsia="仿宋_GB2312"/>
          <w:color w:val="000000" w:themeColor="text1"/>
          <w:sz w:val="25"/>
          <w:szCs w:val="25"/>
          <w14:textFill>
            <w14:solidFill>
              <w14:schemeClr w14:val="tx1"/>
            </w14:solidFill>
          </w14:textFill>
        </w:rPr>
        <w:t>节能环保（类）自然生态保护</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款</w:t>
      </w:r>
      <w:r>
        <w:rPr>
          <w:rFonts w:hint="eastAsia" w:ascii="仿宋_GB2312" w:hAnsi="微软雅黑" w:eastAsia="仿宋_GB2312"/>
          <w:color w:val="000000" w:themeColor="text1"/>
          <w:sz w:val="25"/>
          <w:szCs w:val="25"/>
          <w:lang w:eastAsia="zh-CN"/>
          <w14:textFill>
            <w14:solidFill>
              <w14:schemeClr w14:val="tx1"/>
            </w14:solidFill>
          </w14:textFill>
        </w:rPr>
        <w:t>）自然保护地（</w:t>
      </w:r>
      <w:r>
        <w:rPr>
          <w:rFonts w:hint="eastAsia" w:ascii="仿宋_GB2312" w:hAnsi="微软雅黑" w:eastAsia="仿宋_GB2312"/>
          <w:color w:val="000000" w:themeColor="text1"/>
          <w:sz w:val="25"/>
          <w:szCs w:val="25"/>
          <w:lang w:val="en-US" w:eastAsia="zh-CN"/>
          <w14:textFill>
            <w14:solidFill>
              <w14:schemeClr w14:val="tx1"/>
            </w14:solidFill>
          </w14:textFill>
        </w:rPr>
        <w:t>项</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lang w:val="en-US" w:eastAsia="zh-CN"/>
          <w14:textFill>
            <w14:solidFill>
              <w14:schemeClr w14:val="tx1"/>
            </w14:solidFill>
          </w14:textFill>
        </w:rPr>
        <w:t>故比上年预算数减少。</w:t>
      </w:r>
    </w:p>
    <w:p>
      <w:pPr>
        <w:pStyle w:val="4"/>
        <w:shd w:val="clear" w:color="auto" w:fill="FFFFFF"/>
        <w:ind w:firstLine="516"/>
        <w:rPr>
          <w:rFonts w:hint="default" w:ascii="仿宋_GB2312" w:hAnsi="微软雅黑" w:eastAsia="仿宋_GB2312"/>
          <w:color w:val="000000" w:themeColor="text1"/>
          <w:sz w:val="25"/>
          <w:szCs w:val="25"/>
          <w:lang w:val="en-US" w:eastAsia="zh-CN"/>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10</w:t>
      </w:r>
      <w:r>
        <w:rPr>
          <w:rFonts w:hint="eastAsia" w:ascii="仿宋_GB2312" w:hAnsi="微软雅黑" w:eastAsia="仿宋_GB2312"/>
          <w:color w:val="000000" w:themeColor="text1"/>
          <w:sz w:val="25"/>
          <w:szCs w:val="25"/>
          <w14:textFill>
            <w14:solidFill>
              <w14:schemeClr w14:val="tx1"/>
            </w14:solidFill>
          </w14:textFill>
        </w:rPr>
        <w:t>.交通运输支出（类）公路水路运输（款）公路养护（项）202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年预算数为22.17万元，</w:t>
      </w:r>
      <w:r>
        <w:rPr>
          <w:rFonts w:hint="eastAsia" w:ascii="仿宋_GB2312" w:hAnsi="微软雅黑" w:eastAsia="仿宋_GB2312"/>
          <w:color w:val="000000" w:themeColor="text1"/>
          <w:sz w:val="25"/>
          <w:szCs w:val="25"/>
          <w:lang w:val="en-US" w:eastAsia="zh-CN"/>
          <w14:textFill>
            <w14:solidFill>
              <w14:schemeClr w14:val="tx1"/>
            </w14:solidFill>
          </w14:textFill>
        </w:rPr>
        <w:t>其中2022年公路养护资金结余7.17万元，预算2023年公路养护资金15万元。</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lang w:val="en-US" w:eastAsia="zh-CN"/>
          <w14:textFill>
            <w14:solidFill>
              <w14:schemeClr w14:val="tx1"/>
            </w14:solidFill>
          </w14:textFill>
        </w:rPr>
        <w:t>11</w:t>
      </w:r>
      <w:r>
        <w:rPr>
          <w:rFonts w:hint="eastAsia" w:ascii="仿宋_GB2312" w:hAnsi="微软雅黑" w:eastAsia="仿宋_GB2312"/>
          <w:color w:val="000000" w:themeColor="text1"/>
          <w:sz w:val="25"/>
          <w:szCs w:val="25"/>
          <w14:textFill>
            <w14:solidFill>
              <w14:schemeClr w14:val="tx1"/>
            </w14:solidFill>
          </w14:textFill>
        </w:rPr>
        <w:t>.住房保障（类）住房改革支出（款）住房公积金（项）202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年预算数为</w:t>
      </w:r>
      <w:r>
        <w:rPr>
          <w:rFonts w:hint="eastAsia" w:ascii="仿宋_GB2312" w:hAnsi="微软雅黑" w:eastAsia="仿宋_GB2312"/>
          <w:color w:val="000000" w:themeColor="text1"/>
          <w:sz w:val="25"/>
          <w:szCs w:val="25"/>
          <w:lang w:val="en-US" w:eastAsia="zh-CN"/>
          <w14:textFill>
            <w14:solidFill>
              <w14:schemeClr w14:val="tx1"/>
            </w14:solidFill>
          </w14:textFill>
        </w:rPr>
        <w:t>30.01</w:t>
      </w:r>
      <w:r>
        <w:rPr>
          <w:rFonts w:hint="eastAsia" w:ascii="仿宋_GB2312" w:hAnsi="微软雅黑" w:eastAsia="仿宋_GB2312"/>
          <w:color w:val="000000" w:themeColor="text1"/>
          <w:sz w:val="25"/>
          <w:szCs w:val="25"/>
          <w14:textFill>
            <w14:solidFill>
              <w14:schemeClr w14:val="tx1"/>
            </w14:solidFill>
          </w14:textFill>
        </w:rPr>
        <w:t>万元，比上年预算数</w:t>
      </w:r>
      <w:r>
        <w:rPr>
          <w:rFonts w:hint="eastAsia" w:ascii="仿宋_GB2312" w:hAnsi="微软雅黑" w:eastAsia="仿宋_GB2312"/>
          <w:color w:val="000000" w:themeColor="text1"/>
          <w:sz w:val="25"/>
          <w:szCs w:val="25"/>
          <w:lang w:val="en-US" w:eastAsia="zh-CN"/>
          <w14:textFill>
            <w14:solidFill>
              <w14:schemeClr w14:val="tx1"/>
            </w14:solidFill>
          </w14:textFill>
        </w:rPr>
        <w:t>增加3.03</w:t>
      </w:r>
      <w:r>
        <w:rPr>
          <w:rFonts w:hint="eastAsia" w:ascii="仿宋_GB2312" w:hAnsi="微软雅黑" w:eastAsia="仿宋_GB2312"/>
          <w:color w:val="000000" w:themeColor="text1"/>
          <w:sz w:val="25"/>
          <w:szCs w:val="25"/>
          <w14:textFill>
            <w14:solidFill>
              <w14:schemeClr w14:val="tx1"/>
            </w14:solidFill>
          </w14:textFill>
        </w:rPr>
        <w:t>万元，主要原因</w:t>
      </w:r>
      <w:r>
        <w:rPr>
          <w:rFonts w:hint="eastAsia" w:ascii="仿宋_GB2312" w:hAnsi="微软雅黑" w:eastAsia="仿宋_GB2312"/>
          <w:color w:val="000000" w:themeColor="text1"/>
          <w:sz w:val="25"/>
          <w:szCs w:val="25"/>
          <w:shd w:val="clear" w:color="auto" w:fill="FFFFFF"/>
          <w14:textFill>
            <w14:solidFill>
              <w14:schemeClr w14:val="tx1"/>
            </w14:solidFill>
          </w14:textFill>
        </w:rPr>
        <w:t>住房公积金缴费基数变化</w:t>
      </w:r>
      <w:r>
        <w:rPr>
          <w:rFonts w:hint="eastAsia" w:ascii="仿宋_GB2312" w:hAnsi="微软雅黑" w:eastAsia="仿宋_GB2312"/>
          <w:color w:val="000000" w:themeColor="text1"/>
          <w:sz w:val="25"/>
          <w:szCs w:val="25"/>
          <w14:textFill>
            <w14:solidFill>
              <w14:schemeClr w14:val="tx1"/>
            </w14:solidFill>
          </w14:textFill>
        </w:rPr>
        <w:t>等。</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14:textFill>
            <w14:solidFill>
              <w14:schemeClr w14:val="tx1"/>
            </w14:solidFill>
          </w14:textFill>
        </w:rPr>
        <w:t>三、关于</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14:textFill>
            <w14:solidFill>
              <w14:schemeClr w14:val="tx1"/>
            </w14:solidFill>
          </w14:textFill>
        </w:rPr>
        <w:t>年一般公共预算基本支出情况说明</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年一般公共预算基本支出为505.55万元，其中：</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人员经费376.99万元，主要包括：基本工资、津贴补贴、奖金、社会保障缴费、公积金、医疗费、职业年金、绩效工资、医疗费、以及其他工资福利支出；</w:t>
      </w:r>
    </w:p>
    <w:p>
      <w:pPr>
        <w:pStyle w:val="4"/>
        <w:shd w:val="clear" w:color="auto" w:fill="FFFFFF"/>
        <w:ind w:firstLine="516"/>
        <w:rPr>
          <w:rFonts w:ascii="仿宋_GB2312" w:hAnsi="微软雅黑" w:eastAsia="仿宋_GB2312"/>
          <w:color w:val="000000" w:themeColor="text1"/>
          <w:sz w:val="25"/>
          <w:szCs w:val="25"/>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公用经费128.56万元，主要包括：办公费、印刷费、水费、电费、邮电费、物业管理费、差旅费、维修(护)费、会议费、培训费、公务接待费</w:t>
      </w:r>
      <w:r>
        <w:rPr>
          <w:rFonts w:hint="eastAsia" w:ascii="仿宋_GB2312" w:hAnsi="微软雅黑" w:eastAsia="仿宋_GB2312"/>
          <w:color w:val="000000" w:themeColor="text1"/>
          <w:sz w:val="25"/>
          <w:szCs w:val="25"/>
          <w:lang w:eastAsia="zh-CN"/>
          <w14:textFill>
            <w14:solidFill>
              <w14:schemeClr w14:val="tx1"/>
            </w14:solidFill>
          </w14:textFill>
        </w:rPr>
        <w:t>、</w:t>
      </w:r>
      <w:r>
        <w:rPr>
          <w:rFonts w:hint="eastAsia" w:ascii="仿宋_GB2312" w:hAnsi="微软雅黑" w:eastAsia="仿宋_GB2312"/>
          <w:color w:val="000000" w:themeColor="text1"/>
          <w:sz w:val="25"/>
          <w:szCs w:val="25"/>
          <w14:textFill>
            <w14:solidFill>
              <w14:schemeClr w14:val="tx1"/>
            </w14:solidFill>
          </w14:textFill>
        </w:rPr>
        <w:t>工会经费、福利费、公务用车运行维护费、其他商品和服务支出以及办公设备购置。</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shd w:val="clear" w:color="auto" w:fill="FFFFFF"/>
          <w14:textFill>
            <w14:solidFill>
              <w14:schemeClr w14:val="tx1"/>
            </w14:solidFill>
          </w14:textFill>
        </w:rPr>
        <w:t>四、</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shd w:val="clear" w:color="auto" w:fill="FFFFFF"/>
          <w14:textFill>
            <w14:solidFill>
              <w14:schemeClr w14:val="tx1"/>
            </w14:solidFill>
          </w14:textFill>
        </w:rPr>
        <w:t>年“三公”经费预算情况说明</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（一）</w:t>
      </w: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年一般公共预算“三公”经费预算数为14.22万元，其中：</w:t>
      </w:r>
    </w:p>
    <w:p>
      <w:pPr>
        <w:pStyle w:val="4"/>
        <w:shd w:val="clear" w:color="auto" w:fill="FFFFFF"/>
        <w:ind w:firstLine="516"/>
        <w:rPr>
          <w:rFonts w:hint="eastAsia" w:ascii="新宋体" w:hAnsi="新宋体" w:eastAsia="新宋体" w:cs="新宋体"/>
          <w:color w:val="000000" w:themeColor="text1"/>
          <w:sz w:val="25"/>
          <w:szCs w:val="25"/>
          <w:shd w:val="clear" w:color="auto" w:fill="FFFFFF"/>
          <w:lang w:eastAsia="zh-CN"/>
          <w14:textFill>
            <w14:solidFill>
              <w14:schemeClr w14:val="tx1"/>
            </w14:solidFill>
          </w14:textFill>
        </w:rPr>
      </w:pPr>
      <w:r>
        <w:rPr>
          <w:rFonts w:ascii="新宋体" w:hAnsi="新宋体" w:eastAsia="新宋体" w:cs="Times New Roman"/>
          <w:color w:val="000000" w:themeColor="text1"/>
          <w:sz w:val="25"/>
          <w:szCs w:val="25"/>
          <w:shd w:val="clear" w:color="auto" w:fill="FFFFFF"/>
          <w14:textFill>
            <w14:solidFill>
              <w14:schemeClr w14:val="tx1"/>
            </w14:solidFill>
          </w14:textFill>
        </w:rPr>
        <w:t>公务用车购置及运行费</w:t>
      </w:r>
      <w:r>
        <w:rPr>
          <w:rFonts w:hint="eastAsia" w:ascii="新宋体" w:hAnsi="新宋体" w:eastAsia="新宋体"/>
          <w:color w:val="000000" w:themeColor="text1"/>
          <w:sz w:val="25"/>
          <w:szCs w:val="25"/>
          <w14:textFill>
            <w14:solidFill>
              <w14:schemeClr w14:val="tx1"/>
            </w14:solidFill>
          </w14:textFill>
        </w:rPr>
        <w:t>11.22万元（其中，</w:t>
      </w:r>
      <w:r>
        <w:rPr>
          <w:rFonts w:ascii="新宋体" w:hAnsi="新宋体" w:eastAsia="新宋体" w:cs="Times New Roman"/>
          <w:color w:val="000000" w:themeColor="text1"/>
          <w:sz w:val="25"/>
          <w:szCs w:val="25"/>
          <w:shd w:val="clear" w:color="auto" w:fill="FFFFFF"/>
          <w14:textFill>
            <w14:solidFill>
              <w14:schemeClr w14:val="tx1"/>
            </w14:solidFill>
          </w14:textFill>
        </w:rPr>
        <w:t>公务用车购置</w:t>
      </w:r>
      <w:r>
        <w:rPr>
          <w:rFonts w:hint="eastAsia" w:ascii="新宋体" w:hAnsi="新宋体" w:eastAsia="新宋体"/>
          <w:color w:val="000000" w:themeColor="text1"/>
          <w:sz w:val="25"/>
          <w:szCs w:val="25"/>
          <w:shd w:val="clear" w:color="auto" w:fill="FFFFFF"/>
          <w14:textFill>
            <w14:solidFill>
              <w14:schemeClr w14:val="tx1"/>
            </w14:solidFill>
          </w14:textFill>
        </w:rPr>
        <w:t>费</w:t>
      </w:r>
      <w:r>
        <w:rPr>
          <w:rFonts w:hint="eastAsia" w:ascii="新宋体" w:hAnsi="新宋体" w:eastAsia="新宋体"/>
          <w:color w:val="000000" w:themeColor="text1"/>
          <w:sz w:val="25"/>
          <w:szCs w:val="25"/>
          <w14:textFill>
            <w14:solidFill>
              <w14:schemeClr w14:val="tx1"/>
            </w14:solidFill>
          </w14:textFill>
        </w:rPr>
        <w:t>0万元</w:t>
      </w:r>
      <w:r>
        <w:rPr>
          <w:rFonts w:hint="eastAsia" w:ascii="新宋体" w:hAnsi="新宋体" w:eastAsia="新宋体"/>
          <w:color w:val="000000" w:themeColor="text1"/>
          <w:sz w:val="25"/>
          <w:szCs w:val="25"/>
          <w:shd w:val="clear" w:color="auto" w:fill="FFFFFF"/>
          <w14:textFill>
            <w14:solidFill>
              <w14:schemeClr w14:val="tx1"/>
            </w14:solidFill>
          </w14:textFill>
        </w:rPr>
        <w:t>，公务用车</w:t>
      </w:r>
      <w:r>
        <w:rPr>
          <w:rFonts w:ascii="新宋体" w:hAnsi="新宋体" w:eastAsia="新宋体" w:cs="Times New Roman"/>
          <w:color w:val="000000" w:themeColor="text1"/>
          <w:sz w:val="25"/>
          <w:szCs w:val="25"/>
          <w:shd w:val="clear" w:color="auto" w:fill="FFFFFF"/>
          <w14:textFill>
            <w14:solidFill>
              <w14:schemeClr w14:val="tx1"/>
            </w14:solidFill>
          </w14:textFill>
        </w:rPr>
        <w:t>运行费</w:t>
      </w:r>
      <w:r>
        <w:rPr>
          <w:rFonts w:hint="eastAsia" w:ascii="新宋体" w:hAnsi="新宋体" w:eastAsia="新宋体"/>
          <w:color w:val="000000" w:themeColor="text1"/>
          <w:sz w:val="25"/>
          <w:szCs w:val="25"/>
          <w14:textFill>
            <w14:solidFill>
              <w14:schemeClr w14:val="tx1"/>
            </w14:solidFill>
          </w14:textFill>
        </w:rPr>
        <w:t>11.22万元）</w:t>
      </w:r>
      <w:r>
        <w:rPr>
          <w:rFonts w:ascii="新宋体" w:hAnsi="新宋体" w:eastAsia="新宋体" w:cs="Times New Roman"/>
          <w:color w:val="000000" w:themeColor="text1"/>
          <w:sz w:val="25"/>
          <w:szCs w:val="25"/>
          <w:shd w:val="clear" w:color="auto" w:fill="FFFFFF"/>
          <w14:textFill>
            <w14:solidFill>
              <w14:schemeClr w14:val="tx1"/>
            </w14:solidFill>
          </w14:textFill>
        </w:rPr>
        <w:t>，较</w:t>
      </w:r>
      <w:r>
        <w:rPr>
          <w:rFonts w:hint="eastAsia" w:ascii="新宋体" w:hAnsi="新宋体" w:eastAsia="新宋体"/>
          <w:color w:val="000000" w:themeColor="text1"/>
          <w:sz w:val="25"/>
          <w:szCs w:val="25"/>
          <w:shd w:val="clear" w:color="auto" w:fill="FFFFFF"/>
          <w14:textFill>
            <w14:solidFill>
              <w14:schemeClr w14:val="tx1"/>
            </w14:solidFill>
          </w14:textFill>
        </w:rPr>
        <w:t>上</w:t>
      </w:r>
      <w:r>
        <w:rPr>
          <w:rFonts w:ascii="新宋体" w:hAnsi="新宋体" w:eastAsia="新宋体" w:cs="Times New Roman"/>
          <w:color w:val="000000" w:themeColor="text1"/>
          <w:sz w:val="25"/>
          <w:szCs w:val="25"/>
          <w:shd w:val="clear" w:color="auto" w:fill="FFFFFF"/>
          <w14:textFill>
            <w14:solidFill>
              <w14:schemeClr w14:val="tx1"/>
            </w14:solidFill>
          </w14:textFill>
        </w:rPr>
        <w:t>年预算</w:t>
      </w:r>
      <w:r>
        <w:rPr>
          <w:rFonts w:hint="eastAsia" w:ascii="新宋体" w:hAnsi="新宋体" w:eastAsia="新宋体"/>
          <w:color w:val="000000" w:themeColor="text1"/>
          <w:sz w:val="25"/>
          <w:szCs w:val="25"/>
          <w:shd w:val="clear" w:color="auto" w:fill="FFFFFF"/>
          <w14:textFill>
            <w14:solidFill>
              <w14:schemeClr w14:val="tx1"/>
            </w14:solidFill>
          </w14:textFill>
        </w:rPr>
        <w:t>增加</w:t>
      </w:r>
      <w:r>
        <w:rPr>
          <w:rFonts w:hint="eastAsia" w:ascii="新宋体" w:hAnsi="新宋体" w:eastAsia="新宋体"/>
          <w:color w:val="000000" w:themeColor="text1"/>
          <w:sz w:val="25"/>
          <w:szCs w:val="25"/>
          <w14:textFill>
            <w14:solidFill>
              <w14:schemeClr w14:val="tx1"/>
            </w14:solidFill>
          </w14:textFill>
        </w:rPr>
        <w:t>3</w:t>
      </w:r>
      <w:r>
        <w:rPr>
          <w:rFonts w:ascii="新宋体" w:hAnsi="新宋体" w:eastAsia="新宋体" w:cs="Times New Roman"/>
          <w:color w:val="000000" w:themeColor="text1"/>
          <w:sz w:val="25"/>
          <w:szCs w:val="25"/>
          <w:shd w:val="clear" w:color="auto" w:fill="FFFFFF"/>
          <w14:textFill>
            <w14:solidFill>
              <w14:schemeClr w14:val="tx1"/>
            </w14:solidFill>
          </w14:textFill>
        </w:rPr>
        <w:t>%</w:t>
      </w:r>
      <w:r>
        <w:rPr>
          <w:rFonts w:hint="eastAsia" w:ascii="新宋体" w:hAnsi="新宋体" w:eastAsia="新宋体" w:cs="Times New Roman"/>
          <w:color w:val="000000" w:themeColor="text1"/>
          <w:sz w:val="25"/>
          <w:szCs w:val="25"/>
          <w:shd w:val="clear" w:color="auto" w:fill="FFFFFF"/>
          <w14:textFill>
            <w14:solidFill>
              <w14:schemeClr w14:val="tx1"/>
            </w14:solidFill>
          </w14:textFill>
        </w:rPr>
        <w:t>。</w:t>
      </w:r>
      <w:r>
        <w:rPr>
          <w:rFonts w:hint="eastAsia" w:ascii="新宋体" w:hAnsi="新宋体" w:eastAsia="新宋体"/>
          <w:color w:val="000000" w:themeColor="text1"/>
          <w:sz w:val="25"/>
          <w:szCs w:val="25"/>
          <w14:textFill>
            <w14:solidFill>
              <w14:schemeClr w14:val="tx1"/>
            </w14:solidFill>
          </w14:textFill>
        </w:rPr>
        <w:t>增加</w:t>
      </w:r>
      <w:r>
        <w:rPr>
          <w:rFonts w:ascii="新宋体" w:hAnsi="新宋体" w:eastAsia="新宋体" w:cs="Times New Roman"/>
          <w:color w:val="000000" w:themeColor="text1"/>
          <w:sz w:val="25"/>
          <w:szCs w:val="25"/>
          <w:shd w:val="clear" w:color="auto" w:fill="FFFFFF"/>
          <w14:textFill>
            <w14:solidFill>
              <w14:schemeClr w14:val="tx1"/>
            </w14:solidFill>
          </w14:textFill>
        </w:rPr>
        <w:t>主要原因包括：</w:t>
      </w:r>
      <w:r>
        <w:rPr>
          <w:rFonts w:hint="eastAsia" w:ascii="新宋体" w:hAnsi="新宋体" w:eastAsia="新宋体"/>
          <w:color w:val="000000" w:themeColor="text1"/>
          <w:sz w:val="25"/>
          <w:szCs w:val="25"/>
          <w:shd w:val="clear" w:color="auto" w:fill="FFFFFF"/>
          <w14:textFill>
            <w14:solidFill>
              <w14:schemeClr w14:val="tx1"/>
            </w14:solidFill>
          </w14:textFill>
        </w:rPr>
        <w:t>根据省车编办数据，财政预算系统预算数据自动生成。公务接待费3万元，</w:t>
      </w:r>
      <w:r>
        <w:rPr>
          <w:rFonts w:hint="eastAsia" w:ascii="新宋体" w:hAnsi="新宋体" w:eastAsia="新宋体" w:cs="新宋体"/>
          <w:color w:val="000000" w:themeColor="text1"/>
          <w:sz w:val="25"/>
          <w:szCs w:val="25"/>
          <w14:textFill>
            <w14:solidFill>
              <w14:schemeClr w14:val="tx1"/>
            </w14:solidFill>
          </w14:textFill>
        </w:rPr>
        <w:t>与上年预算数一样，无变化</w:t>
      </w:r>
      <w:r>
        <w:rPr>
          <w:rFonts w:hint="eastAsia" w:ascii="新宋体" w:hAnsi="新宋体" w:eastAsia="新宋体" w:cs="新宋体"/>
          <w:color w:val="000000" w:themeColor="text1"/>
          <w:sz w:val="25"/>
          <w:szCs w:val="25"/>
          <w:lang w:eastAsia="zh-CN"/>
          <w14:textFill>
            <w14:solidFill>
              <w14:schemeClr w14:val="tx1"/>
            </w14:solidFill>
          </w14:textFill>
        </w:rPr>
        <w:t>。</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shd w:val="clear" w:color="auto" w:fill="FFFFFF"/>
          <w14:textFill>
            <w14:solidFill>
              <w14:schemeClr w14:val="tx1"/>
            </w14:solidFill>
          </w14:textFill>
        </w:rPr>
        <w:t>（</w:t>
      </w:r>
      <w:r>
        <w:rPr>
          <w:rFonts w:ascii="Times New Roman" w:hAnsi="Times New Roman" w:eastAsia="微软雅黑" w:cs="Times New Roman"/>
          <w:color w:val="000000" w:themeColor="text1"/>
          <w:sz w:val="25"/>
          <w:szCs w:val="25"/>
          <w:shd w:val="clear" w:color="auto" w:fill="FFFFFF"/>
          <w14:textFill>
            <w14:solidFill>
              <w14:schemeClr w14:val="tx1"/>
            </w14:solidFill>
          </w14:textFill>
        </w:rPr>
        <w:t>二）</w:t>
      </w: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年政府性基金预算“三公”经费预算数为0万元</w:t>
      </w:r>
      <w:r>
        <w:rPr>
          <w:rFonts w:hint="eastAsia" w:ascii="仿宋_GB2312" w:hAnsi="微软雅黑" w:eastAsia="仿宋_GB2312"/>
          <w:color w:val="000000" w:themeColor="text1"/>
          <w:sz w:val="25"/>
          <w:szCs w:val="25"/>
          <w:shd w:val="clear" w:color="auto" w:fill="FFFFFF"/>
          <w14:textFill>
            <w14:solidFill>
              <w14:schemeClr w14:val="tx1"/>
            </w14:solidFill>
          </w14:textFill>
        </w:rPr>
        <w:t>。</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shd w:val="clear" w:color="auto" w:fill="FFFFFF"/>
          <w14:textFill>
            <w14:solidFill>
              <w14:schemeClr w14:val="tx1"/>
            </w14:solidFill>
          </w14:textFill>
        </w:rPr>
        <w:t>五、关于</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shd w:val="clear" w:color="auto" w:fill="FFFFFF"/>
          <w14:textFill>
            <w14:solidFill>
              <w14:schemeClr w14:val="tx1"/>
            </w14:solidFill>
          </w14:textFill>
        </w:rPr>
        <w:t>年收支预算情况的总体说明</w:t>
      </w:r>
    </w:p>
    <w:p>
      <w:pPr>
        <w:pStyle w:val="4"/>
        <w:shd w:val="clear" w:color="auto" w:fill="FFFFFF"/>
        <w:ind w:firstLine="516"/>
        <w:rPr>
          <w:rFonts w:ascii="仿宋_GB2312" w:hAnsi="微软雅黑" w:eastAsia="仿宋_GB2312"/>
          <w:color w:val="000000" w:themeColor="text1"/>
          <w:sz w:val="25"/>
          <w:szCs w:val="25"/>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按照综合预算原则，</w:t>
      </w: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所有收入和支出均纳入部门预算管理。收入包括</w:t>
      </w:r>
      <w:r>
        <w:rPr>
          <w:rFonts w:hint="eastAsia" w:ascii="仿宋_GB2312" w:hAnsi="微软雅黑" w:eastAsia="仿宋_GB2312"/>
          <w:b/>
          <w:bCs/>
          <w:color w:val="000000" w:themeColor="text1"/>
          <w:sz w:val="25"/>
          <w:szCs w:val="25"/>
          <w14:textFill>
            <w14:solidFill>
              <w14:schemeClr w14:val="tx1"/>
            </w14:solidFill>
          </w14:textFill>
        </w:rPr>
        <w:t>：</w:t>
      </w:r>
      <w:r>
        <w:rPr>
          <w:rFonts w:hint="eastAsia" w:ascii="仿宋_GB2312" w:hAnsi="微软雅黑" w:eastAsia="仿宋_GB2312"/>
          <w:color w:val="000000" w:themeColor="text1"/>
          <w:sz w:val="25"/>
          <w:szCs w:val="25"/>
          <w14:textFill>
            <w14:solidFill>
              <w14:schemeClr w14:val="tx1"/>
            </w14:solidFill>
          </w14:textFill>
        </w:rPr>
        <w:t>经费拨款收入；支出包括：社会保障和就业支出、卫生健康支出、节能环保支出、农林水支出、</w:t>
      </w:r>
      <w:r>
        <w:rPr>
          <w:rFonts w:hint="eastAsia" w:ascii="仿宋_GB2312" w:hAnsi="微软雅黑" w:eastAsia="仿宋_GB2312"/>
          <w:color w:val="000000" w:themeColor="text1"/>
          <w:sz w:val="25"/>
          <w:szCs w:val="25"/>
          <w:lang w:val="en-US" w:eastAsia="zh-CN"/>
          <w14:textFill>
            <w14:solidFill>
              <w14:schemeClr w14:val="tx1"/>
            </w14:solidFill>
          </w14:textFill>
        </w:rPr>
        <w:t>交通运输支出、</w:t>
      </w:r>
      <w:r>
        <w:rPr>
          <w:rFonts w:hint="eastAsia" w:ascii="仿宋_GB2312" w:hAnsi="微软雅黑" w:eastAsia="仿宋_GB2312"/>
          <w:color w:val="000000" w:themeColor="text1"/>
          <w:sz w:val="25"/>
          <w:szCs w:val="25"/>
          <w14:textFill>
            <w14:solidFill>
              <w14:schemeClr w14:val="tx1"/>
            </w14:solidFill>
          </w14:textFill>
        </w:rPr>
        <w:t>住房保障支出。</w:t>
      </w: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年收支总预算6,950.82万元。</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shd w:val="clear" w:color="auto" w:fill="FFFFFF"/>
          <w14:textFill>
            <w14:solidFill>
              <w14:schemeClr w14:val="tx1"/>
            </w14:solidFill>
          </w14:textFill>
        </w:rPr>
        <w:t>六、关于</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shd w:val="clear" w:color="auto" w:fill="FFFFFF"/>
          <w14:textFill>
            <w14:solidFill>
              <w14:schemeClr w14:val="tx1"/>
            </w14:solidFill>
          </w14:textFill>
        </w:rPr>
        <w:t>年收入预算情况说明</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年收入预算6,950.82万元，全是一般公共预算拨款收入6,950.82万元，占100%。</w:t>
      </w:r>
      <w:r>
        <w:rPr>
          <w:rFonts w:hint="eastAsia" w:ascii="MS Mincho" w:hAnsi="MS Mincho" w:eastAsia="MS Mincho" w:cs="MS Mincho"/>
          <w:color w:val="000000" w:themeColor="text1"/>
          <w:sz w:val="25"/>
          <w:szCs w:val="25"/>
          <w14:textFill>
            <w14:solidFill>
              <w14:schemeClr w14:val="tx1"/>
            </w14:solidFill>
          </w14:textFill>
        </w:rPr>
        <w:t> </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黑体" w:hAnsi="黑体" w:eastAsia="黑体"/>
          <w:color w:val="000000" w:themeColor="text1"/>
          <w:sz w:val="25"/>
          <w:szCs w:val="25"/>
          <w:shd w:val="clear" w:color="auto" w:fill="FFFFFF"/>
          <w14:textFill>
            <w14:solidFill>
              <w14:schemeClr w14:val="tx1"/>
            </w14:solidFill>
          </w14:textFill>
        </w:rPr>
        <w:t>七、关于</w:t>
      </w:r>
      <w:r>
        <w:rPr>
          <w:rFonts w:hint="eastAsia"/>
          <w:b/>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黑体" w:hAnsi="黑体" w:eastAsia="黑体"/>
          <w:color w:val="000000" w:themeColor="text1"/>
          <w:sz w:val="25"/>
          <w:szCs w:val="25"/>
          <w:shd w:val="clear" w:color="auto" w:fill="FFFFFF"/>
          <w14:textFill>
            <w14:solidFill>
              <w14:schemeClr w14:val="tx1"/>
            </w14:solidFill>
          </w14:textFill>
        </w:rPr>
        <w:t>年支出预算情况说明</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年支出预算6,950.82万元，其中：基本支出505.55万元，占</w:t>
      </w:r>
      <w:r>
        <w:rPr>
          <w:rFonts w:hint="eastAsia" w:ascii="仿宋_GB2312" w:hAnsi="微软雅黑" w:eastAsia="仿宋_GB2312"/>
          <w:color w:val="000000" w:themeColor="text1"/>
          <w:sz w:val="25"/>
          <w:szCs w:val="25"/>
          <w:lang w:val="en-US" w:eastAsia="zh-CN"/>
          <w14:textFill>
            <w14:solidFill>
              <w14:schemeClr w14:val="tx1"/>
            </w14:solidFill>
          </w14:textFill>
        </w:rPr>
        <w:t>7.27</w:t>
      </w:r>
      <w:r>
        <w:rPr>
          <w:rFonts w:hint="eastAsia" w:ascii="仿宋_GB2312" w:hAnsi="微软雅黑" w:eastAsia="仿宋_GB2312"/>
          <w:color w:val="000000" w:themeColor="text1"/>
          <w:sz w:val="25"/>
          <w:szCs w:val="25"/>
          <w14:textFill>
            <w14:solidFill>
              <w14:schemeClr w14:val="tx1"/>
            </w14:solidFill>
          </w14:textFill>
        </w:rPr>
        <w:t>%；项目支出6,445.27万元，占9</w:t>
      </w:r>
      <w:r>
        <w:rPr>
          <w:rFonts w:hint="eastAsia" w:ascii="仿宋_GB2312" w:hAnsi="微软雅黑" w:eastAsia="仿宋_GB2312"/>
          <w:color w:val="000000" w:themeColor="text1"/>
          <w:sz w:val="25"/>
          <w:szCs w:val="25"/>
          <w:lang w:val="en-US" w:eastAsia="zh-CN"/>
          <w14:textFill>
            <w14:solidFill>
              <w14:schemeClr w14:val="tx1"/>
            </w14:solidFill>
          </w14:textFill>
        </w:rPr>
        <w:t>2.73</w:t>
      </w:r>
      <w:r>
        <w:rPr>
          <w:rFonts w:hint="eastAsia" w:ascii="仿宋_GB2312" w:hAnsi="微软雅黑" w:eastAsia="仿宋_GB2312"/>
          <w:color w:val="000000" w:themeColor="text1"/>
          <w:sz w:val="25"/>
          <w:szCs w:val="25"/>
          <w14:textFill>
            <w14:solidFill>
              <w14:schemeClr w14:val="tx1"/>
            </w14:solidFill>
          </w14:textFill>
        </w:rPr>
        <w:t>%。</w:t>
      </w:r>
    </w:p>
    <w:p>
      <w:pPr>
        <w:pStyle w:val="4"/>
        <w:numPr>
          <w:ilvl w:val="0"/>
          <w:numId w:val="6"/>
        </w:numPr>
        <w:shd w:val="clear" w:color="auto" w:fill="FFFFFF"/>
        <w:ind w:firstLine="516"/>
        <w:rPr>
          <w:rFonts w:hint="eastAsia" w:ascii="黑体" w:hAnsi="黑体" w:eastAsia="黑体"/>
          <w:color w:val="000000" w:themeColor="text1"/>
          <w:sz w:val="25"/>
          <w:szCs w:val="25"/>
          <w:shd w:val="clear" w:color="auto" w:fill="FFFFFF"/>
          <w14:textFill>
            <w14:solidFill>
              <w14:schemeClr w14:val="tx1"/>
            </w14:solidFill>
          </w14:textFill>
        </w:rPr>
      </w:pPr>
      <w:r>
        <w:rPr>
          <w:rFonts w:hint="eastAsia" w:ascii="黑体" w:hAnsi="黑体" w:eastAsia="黑体"/>
          <w:color w:val="000000" w:themeColor="text1"/>
          <w:sz w:val="25"/>
          <w:szCs w:val="25"/>
          <w:shd w:val="clear" w:color="auto" w:fill="FFFFFF"/>
          <w14:textFill>
            <w14:solidFill>
              <w14:schemeClr w14:val="tx1"/>
            </w14:solidFill>
          </w14:textFill>
        </w:rPr>
        <w:t>其他重要事项的情况说明</w:t>
      </w:r>
    </w:p>
    <w:p>
      <w:pPr>
        <w:pStyle w:val="4"/>
        <w:numPr>
          <w:ilvl w:val="0"/>
          <w:numId w:val="0"/>
        </w:numPr>
        <w:shd w:val="clear" w:color="auto" w:fill="FFFFFF"/>
        <w:ind w:firstLine="500" w:firstLineChars="200"/>
        <w:rPr>
          <w:rFonts w:hint="eastAsia" w:ascii="楷体" w:hAnsi="楷体" w:eastAsia="楷体"/>
          <w:color w:val="000000" w:themeColor="text1"/>
          <w:sz w:val="25"/>
          <w:szCs w:val="25"/>
          <w:lang w:eastAsia="zh-CN"/>
          <w14:textFill>
            <w14:solidFill>
              <w14:schemeClr w14:val="tx1"/>
            </w14:solidFill>
          </w14:textFill>
        </w:rPr>
      </w:pPr>
      <w:r>
        <w:rPr>
          <w:rFonts w:hint="eastAsia" w:ascii="楷体" w:hAnsi="楷体" w:eastAsia="楷体"/>
          <w:color w:val="000000" w:themeColor="text1"/>
          <w:sz w:val="25"/>
          <w:szCs w:val="25"/>
          <w14:textFill>
            <w14:solidFill>
              <w14:schemeClr w14:val="tx1"/>
            </w14:solidFill>
          </w14:textFill>
        </w:rPr>
        <w:t>（</w:t>
      </w:r>
      <w:r>
        <w:rPr>
          <w:rFonts w:hint="eastAsia" w:ascii="楷体" w:hAnsi="楷体" w:eastAsia="楷体"/>
          <w:color w:val="000000" w:themeColor="text1"/>
          <w:sz w:val="25"/>
          <w:szCs w:val="25"/>
          <w:lang w:val="en-US" w:eastAsia="zh-CN"/>
          <w14:textFill>
            <w14:solidFill>
              <w14:schemeClr w14:val="tx1"/>
            </w14:solidFill>
          </w14:textFill>
        </w:rPr>
        <w:t>一</w:t>
      </w:r>
      <w:r>
        <w:rPr>
          <w:rFonts w:hint="eastAsia" w:ascii="楷体" w:hAnsi="楷体" w:eastAsia="楷体"/>
          <w:color w:val="000000" w:themeColor="text1"/>
          <w:sz w:val="25"/>
          <w:szCs w:val="25"/>
          <w14:textFill>
            <w14:solidFill>
              <w14:schemeClr w14:val="tx1"/>
            </w14:solidFill>
          </w14:textFill>
        </w:rPr>
        <w:t>）</w:t>
      </w:r>
      <w:r>
        <w:rPr>
          <w:rFonts w:hint="eastAsia" w:ascii="楷体" w:hAnsi="楷体" w:eastAsia="楷体"/>
          <w:color w:val="000000" w:themeColor="text1"/>
          <w:sz w:val="25"/>
          <w:szCs w:val="25"/>
          <w:lang w:val="en-US" w:eastAsia="zh-CN"/>
          <w14:textFill>
            <w14:solidFill>
              <w14:schemeClr w14:val="tx1"/>
            </w14:solidFill>
          </w14:textFill>
        </w:rPr>
        <w:t>政府采购情况</w:t>
      </w:r>
    </w:p>
    <w:p>
      <w:pPr>
        <w:pStyle w:val="4"/>
        <w:numPr>
          <w:ilvl w:val="0"/>
          <w:numId w:val="0"/>
        </w:numPr>
        <w:shd w:val="clear" w:color="auto" w:fill="FFFFFF"/>
        <w:ind w:firstLine="750" w:firstLineChars="300"/>
        <w:rPr>
          <w:rFonts w:hint="eastAsia" w:ascii="仿宋" w:hAnsi="仿宋" w:eastAsia="仿宋" w:cs="仿宋"/>
          <w:color w:val="FF0000"/>
          <w:sz w:val="25"/>
          <w:szCs w:val="25"/>
          <w:lang w:val="en-US" w:eastAsia="zh-CN"/>
        </w:rPr>
      </w:pPr>
      <w:r>
        <w:rPr>
          <w:rFonts w:hint="eastAsia" w:ascii="仿宋" w:hAnsi="仿宋" w:eastAsia="仿宋" w:cs="仿宋"/>
          <w:color w:val="000000" w:themeColor="text1"/>
          <w:sz w:val="25"/>
          <w:szCs w:val="25"/>
          <w:lang w:val="en-US" w:eastAsia="zh-CN"/>
          <w14:textFill>
            <w14:solidFill>
              <w14:schemeClr w14:val="tx1"/>
            </w14:solidFill>
          </w14:textFill>
        </w:rPr>
        <w:t>2023年</w:t>
      </w:r>
      <w:r>
        <w:rPr>
          <w:rFonts w:hint="eastAsia" w:ascii="仿宋" w:hAnsi="仿宋" w:eastAsia="仿宋" w:cs="仿宋"/>
          <w:color w:val="000000" w:themeColor="text1"/>
          <w:sz w:val="25"/>
          <w:szCs w:val="25"/>
          <w14:textFill>
            <w14:solidFill>
              <w14:schemeClr w14:val="tx1"/>
            </w14:solidFill>
          </w14:textFill>
        </w:rPr>
        <w:t>海南热带雨林国家公园管理局尖峰岭分局（单位）</w:t>
      </w:r>
      <w:r>
        <w:rPr>
          <w:rFonts w:hint="eastAsia" w:ascii="仿宋" w:hAnsi="仿宋" w:eastAsia="仿宋" w:cs="仿宋"/>
          <w:color w:val="000000" w:themeColor="text1"/>
          <w:sz w:val="25"/>
          <w:szCs w:val="25"/>
          <w:lang w:val="en-US" w:eastAsia="zh-CN"/>
          <w14:textFill>
            <w14:solidFill>
              <w14:schemeClr w14:val="tx1"/>
            </w14:solidFill>
          </w14:textFill>
        </w:rPr>
        <w:t>政府采购预算总额499.95万元，其中：政府采购货物预算68.7万元，政府采购工程预算 431.25万元。</w:t>
      </w:r>
      <w:bookmarkStart w:id="0" w:name="_GoBack"/>
      <w:bookmarkEnd w:id="0"/>
    </w:p>
    <w:p>
      <w:pPr>
        <w:pStyle w:val="4"/>
        <w:numPr>
          <w:ilvl w:val="0"/>
          <w:numId w:val="0"/>
        </w:numPr>
        <w:shd w:val="clear" w:color="auto" w:fill="FFFFFF"/>
        <w:ind w:firstLine="500" w:firstLineChars="200"/>
        <w:rPr>
          <w:rFonts w:ascii="微软雅黑" w:hAnsi="微软雅黑" w:eastAsia="微软雅黑"/>
          <w:color w:val="000000" w:themeColor="text1"/>
          <w:sz w:val="17"/>
          <w:szCs w:val="17"/>
          <w14:textFill>
            <w14:solidFill>
              <w14:schemeClr w14:val="tx1"/>
            </w14:solidFill>
          </w14:textFill>
        </w:rPr>
      </w:pPr>
      <w:r>
        <w:rPr>
          <w:rFonts w:hint="eastAsia" w:ascii="楷体" w:hAnsi="楷体" w:eastAsia="楷体"/>
          <w:color w:val="000000" w:themeColor="text1"/>
          <w:sz w:val="25"/>
          <w:szCs w:val="25"/>
          <w14:textFill>
            <w14:solidFill>
              <w14:schemeClr w14:val="tx1"/>
            </w14:solidFill>
          </w14:textFill>
        </w:rPr>
        <w:t>（</w:t>
      </w:r>
      <w:r>
        <w:rPr>
          <w:rFonts w:hint="eastAsia" w:ascii="楷体" w:hAnsi="楷体" w:eastAsia="楷体"/>
          <w:color w:val="000000" w:themeColor="text1"/>
          <w:sz w:val="25"/>
          <w:szCs w:val="25"/>
          <w:lang w:val="en-US" w:eastAsia="zh-CN"/>
          <w14:textFill>
            <w14:solidFill>
              <w14:schemeClr w14:val="tx1"/>
            </w14:solidFill>
          </w14:textFill>
        </w:rPr>
        <w:t>二</w:t>
      </w:r>
      <w:r>
        <w:rPr>
          <w:rFonts w:hint="eastAsia" w:ascii="楷体" w:hAnsi="楷体" w:eastAsia="楷体"/>
          <w:color w:val="000000" w:themeColor="text1"/>
          <w:sz w:val="25"/>
          <w:szCs w:val="25"/>
          <w14:textFill>
            <w14:solidFill>
              <w14:schemeClr w14:val="tx1"/>
            </w14:solidFill>
          </w14:textFill>
        </w:rPr>
        <w:t>）国有资产占有使用情况</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截至202</w:t>
      </w:r>
      <w:r>
        <w:rPr>
          <w:rFonts w:hint="eastAsia" w:ascii="仿宋_GB2312" w:hAnsi="微软雅黑" w:eastAsia="仿宋_GB2312"/>
          <w:color w:val="000000" w:themeColor="text1"/>
          <w:sz w:val="25"/>
          <w:szCs w:val="25"/>
          <w:lang w:val="en-US" w:eastAsia="zh-CN"/>
          <w14:textFill>
            <w14:solidFill>
              <w14:schemeClr w14:val="tx1"/>
            </w14:solidFill>
          </w14:textFill>
        </w:rPr>
        <w:t>2</w:t>
      </w:r>
      <w:r>
        <w:rPr>
          <w:rFonts w:hint="eastAsia" w:ascii="仿宋_GB2312" w:hAnsi="微软雅黑" w:eastAsia="仿宋_GB2312"/>
          <w:color w:val="000000" w:themeColor="text1"/>
          <w:sz w:val="25"/>
          <w:szCs w:val="25"/>
          <w14:textFill>
            <w14:solidFill>
              <w14:schemeClr w14:val="tx1"/>
            </w14:solidFill>
          </w14:textFill>
        </w:rPr>
        <w:t>年12月31日，</w:t>
      </w: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共有车辆编制5辆，其中，其中，业务用车3辆、特种专业技术用车1辆，工作用车1辆。单位价值100万元以上设备0台（套）。</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楷体" w:hAnsi="楷体" w:eastAsia="楷体"/>
          <w:color w:val="000000" w:themeColor="text1"/>
          <w:sz w:val="25"/>
          <w:szCs w:val="25"/>
          <w14:textFill>
            <w14:solidFill>
              <w14:schemeClr w14:val="tx1"/>
            </w14:solidFill>
          </w14:textFill>
        </w:rPr>
        <w:t>（</w:t>
      </w:r>
      <w:r>
        <w:rPr>
          <w:rFonts w:hint="eastAsia" w:ascii="楷体" w:hAnsi="楷体" w:eastAsia="楷体"/>
          <w:color w:val="000000" w:themeColor="text1"/>
          <w:sz w:val="25"/>
          <w:szCs w:val="25"/>
          <w:lang w:val="en-US" w:eastAsia="zh-CN"/>
          <w14:textFill>
            <w14:solidFill>
              <w14:schemeClr w14:val="tx1"/>
            </w14:solidFill>
          </w14:textFill>
        </w:rPr>
        <w:t>三</w:t>
      </w:r>
      <w:r>
        <w:rPr>
          <w:rFonts w:hint="eastAsia" w:ascii="楷体" w:hAnsi="楷体" w:eastAsia="楷体"/>
          <w:color w:val="000000" w:themeColor="text1"/>
          <w:sz w:val="25"/>
          <w:szCs w:val="25"/>
          <w14:textFill>
            <w14:solidFill>
              <w14:schemeClr w14:val="tx1"/>
            </w14:solidFill>
          </w14:textFill>
        </w:rPr>
        <w:t>）绩效目标设置情况</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202</w:t>
      </w:r>
      <w:r>
        <w:rPr>
          <w:rFonts w:hint="eastAsia" w:ascii="仿宋_GB2312" w:hAnsi="微软雅黑" w:eastAsia="仿宋_GB2312"/>
          <w:color w:val="000000" w:themeColor="text1"/>
          <w:sz w:val="25"/>
          <w:szCs w:val="25"/>
          <w:lang w:val="en-US" w:eastAsia="zh-CN"/>
          <w14:textFill>
            <w14:solidFill>
              <w14:schemeClr w14:val="tx1"/>
            </w14:solidFill>
          </w14:textFill>
        </w:rPr>
        <w:t>3</w:t>
      </w:r>
      <w:r>
        <w:rPr>
          <w:rFonts w:hint="eastAsia" w:ascii="仿宋_GB2312" w:hAnsi="微软雅黑" w:eastAsia="仿宋_GB2312"/>
          <w:color w:val="000000" w:themeColor="text1"/>
          <w:sz w:val="25"/>
          <w:szCs w:val="25"/>
          <w14:textFill>
            <w14:solidFill>
              <w14:schemeClr w14:val="tx1"/>
            </w14:solidFill>
          </w14:textFill>
        </w:rPr>
        <w:t>年</w:t>
      </w:r>
      <w:r>
        <w:rPr>
          <w:rFonts w:hint="eastAsia"/>
          <w:color w:val="000000" w:themeColor="text1"/>
          <w:sz w:val="25"/>
          <w:szCs w:val="25"/>
          <w14:textFill>
            <w14:solidFill>
              <w14:schemeClr w14:val="tx1"/>
            </w14:solidFill>
          </w14:textFill>
        </w:rPr>
        <w:t>海南热带雨林国家公园管理局尖峰岭分局（单位）</w:t>
      </w:r>
      <w:r>
        <w:rPr>
          <w:rFonts w:hint="eastAsia" w:ascii="仿宋_GB2312" w:hAnsi="微软雅黑" w:eastAsia="仿宋_GB2312"/>
          <w:color w:val="000000" w:themeColor="text1"/>
          <w:sz w:val="25"/>
          <w:szCs w:val="25"/>
          <w14:textFill>
            <w14:solidFill>
              <w14:schemeClr w14:val="tx1"/>
            </w14:solidFill>
          </w14:textFill>
        </w:rPr>
        <w:t>13个项目实行绩效目标管理，涉及一般公共预算6,950.82万元。</w:t>
      </w:r>
    </w:p>
    <w:p>
      <w:pPr>
        <w:pStyle w:val="4"/>
        <w:shd w:val="clear" w:color="auto" w:fill="FFFFFF"/>
        <w:jc w:val="center"/>
        <w:rPr>
          <w:rFonts w:ascii="微软雅黑" w:hAnsi="微软雅黑" w:eastAsia="微软雅黑"/>
          <w:color w:val="000000" w:themeColor="text1"/>
          <w:sz w:val="17"/>
          <w:szCs w:val="17"/>
          <w14:textFill>
            <w14:solidFill>
              <w14:schemeClr w14:val="tx1"/>
            </w14:solidFill>
          </w14:textFill>
        </w:rPr>
      </w:pPr>
      <w:r>
        <w:rPr>
          <w:rFonts w:hint="eastAsia" w:ascii="MS Mincho" w:hAnsi="MS Mincho" w:eastAsia="MS Mincho" w:cs="MS Mincho"/>
          <w:b/>
          <w:bCs/>
          <w:color w:val="000000" w:themeColor="text1"/>
          <w:sz w:val="25"/>
          <w:szCs w:val="25"/>
          <w14:textFill>
            <w14:solidFill>
              <w14:schemeClr w14:val="tx1"/>
            </w14:solidFill>
          </w14:textFill>
        </w:rPr>
        <w:t> </w:t>
      </w:r>
      <w:r>
        <w:rPr>
          <w:rFonts w:hint="eastAsia" w:ascii="黑体" w:hAnsi="黑体" w:eastAsia="黑体"/>
          <w:b/>
          <w:bCs/>
          <w:color w:val="000000" w:themeColor="text1"/>
          <w:sz w:val="25"/>
          <w:szCs w:val="25"/>
          <w14:textFill>
            <w14:solidFill>
              <w14:schemeClr w14:val="tx1"/>
            </w14:solidFill>
          </w14:textFill>
        </w:rPr>
        <w:t>第四部  名称解释</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一、一般公共预算收入：指用于反映税收收入、专项收入、行政事业性收费收入、罚没收入、国有资源（资产）有偿使用收入、政府住房基金收入、捐赠收入等财政收入。</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二、政府性基金收入：指是用于反映政府为支持某项事业发展或特定基础设施建设，依法依规向公民、法人和其他组织征收的以及出让土地、发行彩票等方式取得的具有专门用途的资金。</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三、其他财政资金收入：指用于反映政府为履行职责，依法依规收取、提取和安排使用的未纳入预算管理的除教育收费以外的各种财政性资金。</w:t>
      </w:r>
      <w:r>
        <w:rPr>
          <w:rFonts w:hint="eastAsia" w:ascii="MS Mincho" w:hAnsi="MS Mincho" w:eastAsia="MS Mincho" w:cs="MS Mincho"/>
          <w:color w:val="000000" w:themeColor="text1"/>
          <w:sz w:val="25"/>
          <w:szCs w:val="25"/>
          <w14:textFill>
            <w14:solidFill>
              <w14:schemeClr w14:val="tx1"/>
            </w14:solidFill>
          </w14:textFill>
        </w:rPr>
        <w:t> </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四、收回存量资金收入：指用于反映各级财政部门收回的上缴国库但不列入预算的存量资金，包括收回单位实有账户存量资金、收回国库集中支付结余资金、收回转移支付存量资金和收回财政专户存量资金。。</w:t>
      </w:r>
      <w:r>
        <w:rPr>
          <w:rFonts w:hint="eastAsia" w:ascii="MS Mincho" w:hAnsi="MS Mincho" w:eastAsia="MS Mincho" w:cs="MS Mincho"/>
          <w:color w:val="000000" w:themeColor="text1"/>
          <w:sz w:val="25"/>
          <w:szCs w:val="25"/>
          <w14:textFill>
            <w14:solidFill>
              <w14:schemeClr w14:val="tx1"/>
            </w14:solidFill>
          </w14:textFill>
        </w:rPr>
        <w:t> </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五、事业收入：指用于反映事业单位开展专业业务活动及辅助活动所取得的收入。</w:t>
      </w:r>
      <w:r>
        <w:rPr>
          <w:rFonts w:hint="eastAsia" w:ascii="MS Mincho" w:hAnsi="MS Mincho" w:eastAsia="MS Mincho" w:cs="MS Mincho"/>
          <w:color w:val="000000" w:themeColor="text1"/>
          <w:sz w:val="25"/>
          <w:szCs w:val="25"/>
          <w14:textFill>
            <w14:solidFill>
              <w14:schemeClr w14:val="tx1"/>
            </w14:solidFill>
          </w14:textFill>
        </w:rPr>
        <w:t> </w:t>
      </w:r>
    </w:p>
    <w:p>
      <w:pPr>
        <w:pStyle w:val="4"/>
        <w:shd w:val="clear" w:color="auto" w:fill="FFFFFF"/>
        <w:ind w:firstLine="516"/>
        <w:rPr>
          <w:rFonts w:ascii="微软雅黑" w:hAnsi="微软雅黑" w:eastAsia="微软雅黑"/>
          <w:color w:val="000000" w:themeColor="text1"/>
          <w:sz w:val="17"/>
          <w:szCs w:val="17"/>
          <w14:textFill>
            <w14:solidFill>
              <w14:schemeClr w14:val="tx1"/>
            </w14:solidFill>
          </w14:textFill>
        </w:rPr>
      </w:pPr>
      <w:r>
        <w:rPr>
          <w:rFonts w:hint="eastAsia" w:ascii="仿宋_GB2312" w:hAnsi="微软雅黑" w:eastAsia="仿宋_GB2312"/>
          <w:color w:val="000000" w:themeColor="text1"/>
          <w:sz w:val="25"/>
          <w:szCs w:val="25"/>
          <w14:textFill>
            <w14:solidFill>
              <w14:schemeClr w14:val="tx1"/>
            </w14:solidFill>
          </w14:textFill>
        </w:rPr>
        <w:t>六、事业单位经营收入：指用于反映事业单位在专业活动及辅助活动之外开展非独立核算经营活动取得的收入。</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七、其他收入：指用于反映除上述一般公共预算收入、政府性基金收入、其他财政性资金收入、收回存量资金收入、事业收入、事业单位经营收入和往来收入以外的收入。</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九、上年结转结余收入：指用于反映以前年度尚未完成、结转到本年仍按规定用途继续使用的资金等。</w:t>
      </w:r>
    </w:p>
    <w:p>
      <w:pPr>
        <w:pStyle w:val="4"/>
        <w:shd w:val="clear" w:color="auto" w:fill="FFFFFF"/>
        <w:spacing w:line="444" w:lineRule="atLeast"/>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十、农林水（类）林业（款）林业事业机构（项）指用于林业事业单位的基本支出。</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十一、农林水（类）林业（款）森林生态效益补偿（项）指用于公益林保护和管理等方面的支出。</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十二、农林水（类）林业（款）其他林业支出（项）指用于其他林业方面的支出。</w:t>
      </w:r>
    </w:p>
    <w:p>
      <w:pPr>
        <w:pStyle w:val="4"/>
        <w:shd w:val="clear" w:color="auto" w:fill="FFFFFF"/>
        <w:spacing w:line="444" w:lineRule="atLeast"/>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十三、基本支出：指行政事业单位用于为保障其机构正常运转、完成日常工作任务而发生的人员支出和公用支出。</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十四、项目支出：指在基本支出之外为完成特定的行政工作任务或事业发展目标所发生的支出。</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五、“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pStyle w:val="4"/>
        <w:shd w:val="clear" w:color="auto" w:fill="FFFFFF"/>
        <w:ind w:firstLine="516"/>
        <w:rPr>
          <w:rFonts w:ascii="微软雅黑" w:hAnsi="微软雅黑" w:eastAsia="微软雅黑"/>
          <w:color w:val="333333"/>
          <w:sz w:val="17"/>
          <w:szCs w:val="17"/>
        </w:rPr>
      </w:pPr>
      <w:r>
        <w:rPr>
          <w:rFonts w:hint="eastAsia" w:ascii="仿宋_GB2312" w:hAnsi="微软雅黑" w:eastAsia="仿宋_GB2312"/>
          <w:color w:val="333333"/>
          <w:sz w:val="25"/>
          <w:szCs w:val="25"/>
        </w:rPr>
        <w:t>十六、公用经费：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10174"/>
    <w:multiLevelType w:val="multilevel"/>
    <w:tmpl w:val="1F110174"/>
    <w:lvl w:ilvl="0" w:tentative="0">
      <w:start w:val="1"/>
      <w:numFmt w:val="chineseCountingThousand"/>
      <w:lvlText w:val="%1、"/>
      <w:lvlJc w:val="left"/>
      <w:pPr>
        <w:ind w:left="2208" w:hanging="420"/>
      </w:pPr>
    </w:lvl>
    <w:lvl w:ilvl="1" w:tentative="0">
      <w:start w:val="1"/>
      <w:numFmt w:val="lowerLetter"/>
      <w:lvlText w:val="%2)"/>
      <w:lvlJc w:val="left"/>
      <w:pPr>
        <w:ind w:left="2628" w:hanging="420"/>
      </w:pPr>
    </w:lvl>
    <w:lvl w:ilvl="2" w:tentative="0">
      <w:start w:val="1"/>
      <w:numFmt w:val="lowerRoman"/>
      <w:lvlText w:val="%3."/>
      <w:lvlJc w:val="right"/>
      <w:pPr>
        <w:ind w:left="3048" w:hanging="420"/>
      </w:pPr>
    </w:lvl>
    <w:lvl w:ilvl="3" w:tentative="0">
      <w:start w:val="1"/>
      <w:numFmt w:val="decimal"/>
      <w:lvlText w:val="%4."/>
      <w:lvlJc w:val="left"/>
      <w:pPr>
        <w:ind w:left="3468" w:hanging="420"/>
      </w:pPr>
    </w:lvl>
    <w:lvl w:ilvl="4" w:tentative="0">
      <w:start w:val="1"/>
      <w:numFmt w:val="lowerLetter"/>
      <w:lvlText w:val="%5)"/>
      <w:lvlJc w:val="left"/>
      <w:pPr>
        <w:ind w:left="3888" w:hanging="420"/>
      </w:pPr>
    </w:lvl>
    <w:lvl w:ilvl="5" w:tentative="0">
      <w:start w:val="1"/>
      <w:numFmt w:val="lowerRoman"/>
      <w:lvlText w:val="%6."/>
      <w:lvlJc w:val="right"/>
      <w:pPr>
        <w:ind w:left="4308" w:hanging="420"/>
      </w:pPr>
    </w:lvl>
    <w:lvl w:ilvl="6" w:tentative="0">
      <w:start w:val="1"/>
      <w:numFmt w:val="decimal"/>
      <w:lvlText w:val="%7."/>
      <w:lvlJc w:val="left"/>
      <w:pPr>
        <w:ind w:left="4728" w:hanging="420"/>
      </w:pPr>
    </w:lvl>
    <w:lvl w:ilvl="7" w:tentative="0">
      <w:start w:val="1"/>
      <w:numFmt w:val="lowerLetter"/>
      <w:lvlText w:val="%8)"/>
      <w:lvlJc w:val="left"/>
      <w:pPr>
        <w:ind w:left="5148" w:hanging="420"/>
      </w:pPr>
    </w:lvl>
    <w:lvl w:ilvl="8" w:tentative="0">
      <w:start w:val="1"/>
      <w:numFmt w:val="lowerRoman"/>
      <w:lvlText w:val="%9."/>
      <w:lvlJc w:val="right"/>
      <w:pPr>
        <w:ind w:left="5568" w:hanging="420"/>
      </w:pPr>
    </w:lvl>
  </w:abstractNum>
  <w:abstractNum w:abstractNumId="1">
    <w:nsid w:val="3FBA0308"/>
    <w:multiLevelType w:val="multilevel"/>
    <w:tmpl w:val="3FBA0308"/>
    <w:lvl w:ilvl="0" w:tentative="0">
      <w:start w:val="1"/>
      <w:numFmt w:val="japaneseCounting"/>
      <w:lvlText w:val="（%1）"/>
      <w:lvlJc w:val="left"/>
      <w:pPr>
        <w:ind w:left="2400" w:hanging="1080"/>
      </w:pPr>
      <w:rPr>
        <w:rFonts w:hint="default"/>
      </w:r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
    <w:nsid w:val="41151069"/>
    <w:multiLevelType w:val="multilevel"/>
    <w:tmpl w:val="41151069"/>
    <w:lvl w:ilvl="0" w:tentative="0">
      <w:start w:val="1"/>
      <w:numFmt w:val="japaneseCounting"/>
      <w:lvlText w:val="第%1部"/>
      <w:lvlJc w:val="left"/>
      <w:pPr>
        <w:ind w:left="1800" w:hanging="1200"/>
      </w:pPr>
      <w:rPr>
        <w:rFonts w:hint="default"/>
      </w:rPr>
    </w:lvl>
    <w:lvl w:ilvl="1" w:tentative="0">
      <w:start w:val="2"/>
      <w:numFmt w:val="japaneseCounting"/>
      <w:lvlText w:val="%2、"/>
      <w:lvlJc w:val="left"/>
      <w:pPr>
        <w:ind w:left="1512" w:hanging="492"/>
      </w:pPr>
      <w:rPr>
        <w:rFonts w:hint="default" w:ascii="黑体" w:hAnsi="黑体" w:eastAsia="黑体"/>
        <w:sz w:val="25"/>
      </w:r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4C051599"/>
    <w:multiLevelType w:val="multilevel"/>
    <w:tmpl w:val="4C051599"/>
    <w:lvl w:ilvl="0" w:tentative="0">
      <w:start w:val="1"/>
      <w:numFmt w:val="none"/>
      <w:lvlText w:val="一、"/>
      <w:lvlJc w:val="left"/>
      <w:pPr>
        <w:ind w:left="1320" w:hanging="720"/>
      </w:pPr>
      <w:rPr>
        <w:rFonts w:hint="default"/>
        <w:sz w:val="25"/>
        <w:szCs w:val="25"/>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738C0B20"/>
    <w:multiLevelType w:val="multilevel"/>
    <w:tmpl w:val="738C0B20"/>
    <w:lvl w:ilvl="0" w:tentative="0">
      <w:start w:val="1"/>
      <w:numFmt w:val="japaneseCounting"/>
      <w:lvlText w:val="第%1部"/>
      <w:lvlJc w:val="left"/>
      <w:pPr>
        <w:ind w:left="1200" w:hanging="1200"/>
      </w:pPr>
      <w:rPr>
        <w:rFonts w:hint="default"/>
      </w:rPr>
    </w:lvl>
    <w:lvl w:ilvl="1" w:tentative="0">
      <w:start w:val="1"/>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AE277D9"/>
    <w:multiLevelType w:val="singleLevel"/>
    <w:tmpl w:val="7AE277D9"/>
    <w:lvl w:ilvl="0" w:tentative="0">
      <w:start w:val="8"/>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xOTY5M2I0Mzk4NjNlOWQ1Y2NjNmExYzZiMmZjMjAifQ=="/>
  </w:docVars>
  <w:rsids>
    <w:rsidRoot w:val="005E3840"/>
    <w:rsid w:val="000021EB"/>
    <w:rsid w:val="000111E5"/>
    <w:rsid w:val="00015E38"/>
    <w:rsid w:val="00035F7A"/>
    <w:rsid w:val="00046548"/>
    <w:rsid w:val="00047056"/>
    <w:rsid w:val="00056F93"/>
    <w:rsid w:val="0006490D"/>
    <w:rsid w:val="00091B3B"/>
    <w:rsid w:val="000A094D"/>
    <w:rsid w:val="000A1D69"/>
    <w:rsid w:val="000C2A18"/>
    <w:rsid w:val="00143AF6"/>
    <w:rsid w:val="00145320"/>
    <w:rsid w:val="0015087D"/>
    <w:rsid w:val="00186B35"/>
    <w:rsid w:val="001C39F1"/>
    <w:rsid w:val="001C3EB3"/>
    <w:rsid w:val="001C7A84"/>
    <w:rsid w:val="001E4A01"/>
    <w:rsid w:val="001F7B9D"/>
    <w:rsid w:val="002454EF"/>
    <w:rsid w:val="002478C4"/>
    <w:rsid w:val="00256558"/>
    <w:rsid w:val="00272A85"/>
    <w:rsid w:val="00293DE7"/>
    <w:rsid w:val="002C2CE5"/>
    <w:rsid w:val="002D3BEA"/>
    <w:rsid w:val="002D4043"/>
    <w:rsid w:val="002E6EBF"/>
    <w:rsid w:val="00324088"/>
    <w:rsid w:val="00332DE1"/>
    <w:rsid w:val="00396699"/>
    <w:rsid w:val="003B5D97"/>
    <w:rsid w:val="003C3E47"/>
    <w:rsid w:val="003E5FBD"/>
    <w:rsid w:val="003F0ED3"/>
    <w:rsid w:val="00411D2B"/>
    <w:rsid w:val="00415E06"/>
    <w:rsid w:val="00435A92"/>
    <w:rsid w:val="0045750B"/>
    <w:rsid w:val="0046700B"/>
    <w:rsid w:val="00467767"/>
    <w:rsid w:val="004B4FA4"/>
    <w:rsid w:val="004C78F4"/>
    <w:rsid w:val="00506BAA"/>
    <w:rsid w:val="0052332D"/>
    <w:rsid w:val="00546C69"/>
    <w:rsid w:val="00577BBF"/>
    <w:rsid w:val="00581526"/>
    <w:rsid w:val="00595943"/>
    <w:rsid w:val="005C6B2D"/>
    <w:rsid w:val="005E3840"/>
    <w:rsid w:val="005F4062"/>
    <w:rsid w:val="00630B62"/>
    <w:rsid w:val="00643AEC"/>
    <w:rsid w:val="006678D4"/>
    <w:rsid w:val="00760D0B"/>
    <w:rsid w:val="007873B9"/>
    <w:rsid w:val="00792326"/>
    <w:rsid w:val="007D0203"/>
    <w:rsid w:val="007F6480"/>
    <w:rsid w:val="00861D50"/>
    <w:rsid w:val="008A5EC3"/>
    <w:rsid w:val="008D6F88"/>
    <w:rsid w:val="009134AC"/>
    <w:rsid w:val="0096005C"/>
    <w:rsid w:val="0098254E"/>
    <w:rsid w:val="009B4085"/>
    <w:rsid w:val="00AC4DF2"/>
    <w:rsid w:val="00AD4E84"/>
    <w:rsid w:val="00AF320F"/>
    <w:rsid w:val="00B020B0"/>
    <w:rsid w:val="00B40C4B"/>
    <w:rsid w:val="00B65D7E"/>
    <w:rsid w:val="00BA49D4"/>
    <w:rsid w:val="00BB7325"/>
    <w:rsid w:val="00BD1E36"/>
    <w:rsid w:val="00BD7062"/>
    <w:rsid w:val="00BE301E"/>
    <w:rsid w:val="00BE433A"/>
    <w:rsid w:val="00C23A32"/>
    <w:rsid w:val="00C27C98"/>
    <w:rsid w:val="00CC1930"/>
    <w:rsid w:val="00CD4BD5"/>
    <w:rsid w:val="00D01E28"/>
    <w:rsid w:val="00D20CA2"/>
    <w:rsid w:val="00D33056"/>
    <w:rsid w:val="00D364FC"/>
    <w:rsid w:val="00D64C6E"/>
    <w:rsid w:val="00DC2709"/>
    <w:rsid w:val="00DE68C5"/>
    <w:rsid w:val="00DF4B1E"/>
    <w:rsid w:val="00E02EC9"/>
    <w:rsid w:val="00E062F0"/>
    <w:rsid w:val="00E63580"/>
    <w:rsid w:val="00EC1E85"/>
    <w:rsid w:val="00F50A64"/>
    <w:rsid w:val="00F7705C"/>
    <w:rsid w:val="00F86554"/>
    <w:rsid w:val="00F87EA0"/>
    <w:rsid w:val="00FD47D7"/>
    <w:rsid w:val="00FE51DE"/>
    <w:rsid w:val="034E25D9"/>
    <w:rsid w:val="046C3ED0"/>
    <w:rsid w:val="06D373CC"/>
    <w:rsid w:val="0774357C"/>
    <w:rsid w:val="09C3197A"/>
    <w:rsid w:val="10514EDE"/>
    <w:rsid w:val="1204518D"/>
    <w:rsid w:val="141442EC"/>
    <w:rsid w:val="14BB7CD1"/>
    <w:rsid w:val="1D90796E"/>
    <w:rsid w:val="1F0A0427"/>
    <w:rsid w:val="2A8E5901"/>
    <w:rsid w:val="2B011D47"/>
    <w:rsid w:val="32D95FDB"/>
    <w:rsid w:val="33DB28F1"/>
    <w:rsid w:val="39CE1AF2"/>
    <w:rsid w:val="41492B11"/>
    <w:rsid w:val="476B04B5"/>
    <w:rsid w:val="4AB83714"/>
    <w:rsid w:val="4B5C0D0B"/>
    <w:rsid w:val="510C203D"/>
    <w:rsid w:val="5B631C42"/>
    <w:rsid w:val="67CE75E6"/>
    <w:rsid w:val="69313BEE"/>
    <w:rsid w:val="6A6051B7"/>
    <w:rsid w:val="6DFB21AE"/>
    <w:rsid w:val="6F0137F4"/>
    <w:rsid w:val="72730565"/>
    <w:rsid w:val="768433AD"/>
    <w:rsid w:val="7A485B22"/>
    <w:rsid w:val="7BA6550D"/>
    <w:rsid w:val="7D8C4BD1"/>
    <w:rsid w:val="7E235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11</Pages>
  <Words>4511</Words>
  <Characters>5082</Characters>
  <Lines>31</Lines>
  <Paragraphs>8</Paragraphs>
  <TotalTime>2</TotalTime>
  <ScaleCrop>false</ScaleCrop>
  <LinksUpToDate>false</LinksUpToDate>
  <CharactersWithSpaces>5097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2021-02-24T07:23:00Z</dcterms:created>
  <dc:creator>hp</dc:creator>
  <cp:lastModifiedBy>Administrator</cp:lastModifiedBy>
  <dcterms:modified xsi:type="dcterms:W3CDTF">2023-02-02T08:31:33Z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C60D01AA6C9D463AA29E8D91C134CAFA</vt:lpwstr>
  </property>
</Properties>
</file>