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641D7">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黑体" w:hAnsi="ˎ̥" w:eastAsia="黑体"/>
          <w:color w:val="000000"/>
          <w:sz w:val="32"/>
          <w:szCs w:val="32"/>
          <w:highlight w:val="none"/>
          <w:lang w:val="en-US" w:eastAsia="zh-CN"/>
        </w:rPr>
      </w:pPr>
      <w:r>
        <w:rPr>
          <w:rFonts w:hint="eastAsia" w:ascii="黑体" w:hAnsi="ˎ̥" w:eastAsia="黑体"/>
          <w:color w:val="000000"/>
          <w:sz w:val="32"/>
          <w:szCs w:val="32"/>
          <w:highlight w:val="none"/>
          <w:lang w:eastAsia="zh-CN"/>
        </w:rPr>
        <w:t>附件</w:t>
      </w:r>
      <w:r>
        <w:rPr>
          <w:rFonts w:hint="eastAsia" w:ascii="黑体" w:hAnsi="ˎ̥" w:eastAsia="黑体"/>
          <w:color w:val="000000"/>
          <w:sz w:val="32"/>
          <w:szCs w:val="32"/>
          <w:highlight w:val="none"/>
          <w:lang w:val="en-US" w:eastAsia="zh-CN"/>
        </w:rPr>
        <w:t>2</w:t>
      </w:r>
    </w:p>
    <w:p w14:paraId="0507538D">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44"/>
          <w:szCs w:val="44"/>
          <w:highlight w:val="none"/>
        </w:rPr>
      </w:pPr>
    </w:p>
    <w:p w14:paraId="1B0CEA99">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44"/>
          <w:szCs w:val="44"/>
          <w:highlight w:val="none"/>
        </w:rPr>
      </w:pPr>
      <w:r>
        <w:rPr>
          <w:rFonts w:hint="eastAsia" w:ascii="黑体" w:hAnsi="ˎ̥" w:eastAsia="黑体"/>
          <w:color w:val="000000"/>
          <w:sz w:val="44"/>
          <w:szCs w:val="44"/>
          <w:highlight w:val="none"/>
        </w:rPr>
        <w:t>海南</w:t>
      </w:r>
      <w:r>
        <w:rPr>
          <w:rFonts w:hint="eastAsia" w:ascii="黑体" w:hAnsi="ˎ̥" w:eastAsia="黑体"/>
          <w:color w:val="000000"/>
          <w:sz w:val="44"/>
          <w:szCs w:val="44"/>
          <w:highlight w:val="none"/>
          <w:lang w:eastAsia="zh-CN"/>
        </w:rPr>
        <w:t>六连岭省级自然保护区管理站</w:t>
      </w:r>
      <w:r>
        <w:rPr>
          <w:rFonts w:hint="eastAsia" w:ascii="黑体" w:hAnsi="ˎ̥" w:eastAsia="黑体"/>
          <w:color w:val="000000"/>
          <w:sz w:val="44"/>
          <w:szCs w:val="44"/>
          <w:highlight w:val="none"/>
        </w:rPr>
        <w:t>202</w:t>
      </w:r>
      <w:r>
        <w:rPr>
          <w:rFonts w:hint="eastAsia" w:ascii="黑体" w:hAnsi="ˎ̥" w:eastAsia="黑体"/>
          <w:color w:val="000000"/>
          <w:sz w:val="44"/>
          <w:szCs w:val="44"/>
          <w:highlight w:val="none"/>
          <w:lang w:val="en-US" w:eastAsia="zh-CN"/>
        </w:rPr>
        <w:t>3</w:t>
      </w:r>
      <w:r>
        <w:rPr>
          <w:rFonts w:hint="eastAsia" w:ascii="黑体" w:hAnsi="ˎ̥" w:eastAsia="黑体"/>
          <w:color w:val="000000"/>
          <w:sz w:val="44"/>
          <w:szCs w:val="44"/>
          <w:highlight w:val="none"/>
        </w:rPr>
        <w:t>年度部门决算公开</w:t>
      </w:r>
      <w:r>
        <w:rPr>
          <w:rFonts w:ascii="黑体" w:hAnsi="ˎ̥" w:eastAsia="黑体"/>
          <w:color w:val="000000"/>
          <w:sz w:val="44"/>
          <w:szCs w:val="44"/>
          <w:highlight w:val="none"/>
        </w:rPr>
        <w:t>报告</w:t>
      </w:r>
    </w:p>
    <w:p w14:paraId="4D1D0C35">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b/>
          <w:color w:val="000000"/>
          <w:sz w:val="32"/>
          <w:szCs w:val="32"/>
          <w:highlight w:val="none"/>
        </w:rPr>
      </w:pPr>
    </w:p>
    <w:p w14:paraId="046020A0">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000000"/>
          <w:sz w:val="44"/>
          <w:szCs w:val="44"/>
          <w:highlight w:val="none"/>
        </w:rPr>
      </w:pPr>
      <w:bookmarkStart w:id="0" w:name="_Toc11440_WPSOffice_Type2"/>
      <w:r>
        <w:rPr>
          <w:rFonts w:hint="eastAsia" w:ascii="黑体" w:hAnsi="黑体" w:eastAsia="黑体" w:cs="黑体"/>
          <w:color w:val="000000"/>
          <w:sz w:val="44"/>
          <w:szCs w:val="44"/>
          <w:highlight w:val="none"/>
        </w:rPr>
        <w:t>目  录</w:t>
      </w:r>
    </w:p>
    <w:p w14:paraId="5EF18FEB">
      <w:pPr>
        <w:pStyle w:val="7"/>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000000"/>
          <w:sz w:val="32"/>
          <w:szCs w:val="32"/>
          <w:highlight w:val="none"/>
        </w:rPr>
      </w:pPr>
      <w:r>
        <w:rPr>
          <w:color w:val="000000"/>
          <w:sz w:val="32"/>
          <w:szCs w:val="32"/>
          <w:highlight w:val="none"/>
        </w:rPr>
        <w:fldChar w:fldCharType="begin"/>
      </w:r>
      <w:r>
        <w:rPr>
          <w:color w:val="000000"/>
          <w:sz w:val="32"/>
          <w:szCs w:val="32"/>
          <w:highlight w:val="none"/>
        </w:rPr>
        <w:instrText xml:space="preserve"> HYPERLINK \l _Toc1704_WPSOffice_Level1 </w:instrText>
      </w:r>
      <w:r>
        <w:rPr>
          <w:color w:val="000000"/>
          <w:sz w:val="32"/>
          <w:szCs w:val="32"/>
          <w:highlight w:val="none"/>
        </w:rPr>
        <w:fldChar w:fldCharType="separate"/>
      </w:r>
      <w:r>
        <w:rPr>
          <w:rFonts w:hint="eastAsia" w:ascii="黑体" w:hAnsi="ˎ̥" w:eastAsia="黑体"/>
          <w:color w:val="000000"/>
          <w:sz w:val="32"/>
          <w:szCs w:val="32"/>
          <w:highlight w:val="none"/>
        </w:rPr>
        <w:t>第一部分 基本情况</w:t>
      </w:r>
      <w:r>
        <w:rPr>
          <w:color w:val="000000"/>
          <w:sz w:val="32"/>
          <w:szCs w:val="32"/>
          <w:highlight w:val="none"/>
        </w:rPr>
        <w:tab/>
      </w:r>
      <w:r>
        <w:rPr>
          <w:rFonts w:hint="eastAsia"/>
          <w:color w:val="000000"/>
          <w:sz w:val="32"/>
          <w:szCs w:val="32"/>
          <w:highlight w:val="none"/>
          <w:lang w:val="en-US" w:eastAsia="zh-CN"/>
        </w:rPr>
        <w:t>2</w:t>
      </w:r>
      <w:r>
        <w:rPr>
          <w:color w:val="000000"/>
          <w:sz w:val="32"/>
          <w:szCs w:val="32"/>
          <w:highlight w:val="none"/>
        </w:rPr>
        <w:fldChar w:fldCharType="end"/>
      </w:r>
    </w:p>
    <w:p w14:paraId="784ABAA9">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_Toc20274_WPSOffice_Level2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color w:val="000000"/>
          <w:sz w:val="32"/>
          <w:szCs w:val="32"/>
          <w:highlight w:val="none"/>
        </w:rPr>
        <w:t>一、部门</w:t>
      </w:r>
      <w:r>
        <w:rPr>
          <w:rFonts w:hint="eastAsia" w:ascii="仿宋" w:hAnsi="仿宋" w:eastAsia="仿宋" w:cs="仿宋"/>
          <w:color w:val="000000"/>
          <w:sz w:val="32"/>
          <w:szCs w:val="32"/>
          <w:highlight w:val="none"/>
          <w:lang w:eastAsia="zh-CN"/>
        </w:rPr>
        <w:t>（单位）</w:t>
      </w:r>
      <w:r>
        <w:rPr>
          <w:rFonts w:hint="eastAsia" w:ascii="仿宋" w:hAnsi="仿宋" w:eastAsia="仿宋" w:cs="仿宋"/>
          <w:color w:val="000000"/>
          <w:sz w:val="32"/>
          <w:szCs w:val="32"/>
          <w:highlight w:val="none"/>
        </w:rPr>
        <w:t>职责</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2</w:t>
      </w:r>
      <w:r>
        <w:rPr>
          <w:rFonts w:hint="eastAsia" w:ascii="仿宋" w:hAnsi="仿宋" w:eastAsia="仿宋" w:cs="仿宋"/>
          <w:color w:val="000000"/>
          <w:sz w:val="32"/>
          <w:szCs w:val="32"/>
          <w:highlight w:val="none"/>
        </w:rPr>
        <w:fldChar w:fldCharType="end"/>
      </w:r>
    </w:p>
    <w:p w14:paraId="7A6EB7D2">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_Toc4833_WPSOffice_Level2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color w:val="000000"/>
          <w:sz w:val="32"/>
          <w:szCs w:val="32"/>
          <w:highlight w:val="none"/>
        </w:rPr>
        <w:t>二、机构设置</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2</w:t>
      </w:r>
      <w:r>
        <w:rPr>
          <w:rFonts w:hint="eastAsia" w:ascii="仿宋" w:hAnsi="仿宋" w:eastAsia="仿宋" w:cs="仿宋"/>
          <w:color w:val="000000"/>
          <w:sz w:val="32"/>
          <w:szCs w:val="32"/>
          <w:highlight w:val="none"/>
        </w:rPr>
        <w:fldChar w:fldCharType="end"/>
      </w:r>
    </w:p>
    <w:p w14:paraId="11D489A6">
      <w:pPr>
        <w:pStyle w:val="7"/>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000000"/>
          <w:sz w:val="32"/>
          <w:szCs w:val="32"/>
          <w:highlight w:val="none"/>
        </w:rPr>
      </w:pPr>
      <w:r>
        <w:rPr>
          <w:color w:val="000000"/>
          <w:sz w:val="32"/>
          <w:szCs w:val="32"/>
          <w:highlight w:val="none"/>
        </w:rPr>
        <w:fldChar w:fldCharType="begin"/>
      </w:r>
      <w:r>
        <w:rPr>
          <w:color w:val="000000"/>
          <w:sz w:val="32"/>
          <w:szCs w:val="32"/>
          <w:highlight w:val="none"/>
        </w:rPr>
        <w:instrText xml:space="preserve"> HYPERLINK \l _Toc28253_WPSOffice_Level1 </w:instrText>
      </w:r>
      <w:r>
        <w:rPr>
          <w:color w:val="000000"/>
          <w:sz w:val="32"/>
          <w:szCs w:val="32"/>
          <w:highlight w:val="none"/>
        </w:rPr>
        <w:fldChar w:fldCharType="separate"/>
      </w:r>
      <w:r>
        <w:rPr>
          <w:rFonts w:hint="eastAsia" w:ascii="黑体" w:hAnsi="ˎ̥" w:eastAsia="黑体"/>
          <w:color w:val="000000"/>
          <w:sz w:val="32"/>
          <w:szCs w:val="32"/>
          <w:highlight w:val="none"/>
        </w:rPr>
        <w:t>第二部分  202</w:t>
      </w:r>
      <w:r>
        <w:rPr>
          <w:rFonts w:hint="eastAsia" w:ascii="黑体" w:hAnsi="ˎ̥" w:eastAsia="黑体"/>
          <w:color w:val="000000"/>
          <w:sz w:val="32"/>
          <w:szCs w:val="32"/>
          <w:highlight w:val="none"/>
          <w:lang w:val="en-US" w:eastAsia="zh-CN"/>
        </w:rPr>
        <w:t>3</w:t>
      </w:r>
      <w:r>
        <w:rPr>
          <w:rFonts w:hint="eastAsia" w:ascii="黑体" w:hAnsi="ˎ̥" w:eastAsia="黑体"/>
          <w:color w:val="000000"/>
          <w:sz w:val="32"/>
          <w:szCs w:val="32"/>
          <w:highlight w:val="none"/>
        </w:rPr>
        <w:t>年度部门决算公开表</w:t>
      </w:r>
      <w:r>
        <w:rPr>
          <w:color w:val="000000"/>
          <w:sz w:val="32"/>
          <w:szCs w:val="32"/>
          <w:highlight w:val="none"/>
        </w:rPr>
        <w:tab/>
      </w:r>
      <w:r>
        <w:rPr>
          <w:rFonts w:hint="eastAsia"/>
          <w:color w:val="000000"/>
          <w:sz w:val="32"/>
          <w:szCs w:val="32"/>
          <w:highlight w:val="none"/>
          <w:lang w:val="en-US" w:eastAsia="zh-CN"/>
        </w:rPr>
        <w:t>2</w:t>
      </w:r>
      <w:r>
        <w:rPr>
          <w:color w:val="000000"/>
          <w:sz w:val="32"/>
          <w:szCs w:val="32"/>
          <w:highlight w:val="none"/>
        </w:rPr>
        <w:fldChar w:fldCharType="end"/>
      </w:r>
    </w:p>
    <w:p w14:paraId="6748B186">
      <w:pPr>
        <w:pStyle w:val="7"/>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000000"/>
          <w:sz w:val="32"/>
          <w:szCs w:val="32"/>
          <w:highlight w:val="none"/>
        </w:rPr>
      </w:pPr>
      <w:r>
        <w:rPr>
          <w:color w:val="000000"/>
          <w:sz w:val="32"/>
          <w:szCs w:val="32"/>
          <w:highlight w:val="none"/>
        </w:rPr>
        <w:fldChar w:fldCharType="begin"/>
      </w:r>
      <w:r>
        <w:rPr>
          <w:color w:val="000000"/>
          <w:sz w:val="32"/>
          <w:szCs w:val="32"/>
          <w:highlight w:val="none"/>
        </w:rPr>
        <w:instrText xml:space="preserve"> HYPERLINK \l _Toc27590_WPSOffice_Level1 </w:instrText>
      </w:r>
      <w:r>
        <w:rPr>
          <w:color w:val="000000"/>
          <w:sz w:val="32"/>
          <w:szCs w:val="32"/>
          <w:highlight w:val="none"/>
        </w:rPr>
        <w:fldChar w:fldCharType="separate"/>
      </w:r>
      <w:r>
        <w:rPr>
          <w:rFonts w:hint="eastAsia" w:ascii="黑体" w:hAnsi="黑体" w:eastAsia="黑体" w:cs="黑体"/>
          <w:color w:val="000000"/>
          <w:sz w:val="32"/>
          <w:szCs w:val="32"/>
          <w:highlight w:val="none"/>
        </w:rPr>
        <w:t>第三部分</w:t>
      </w:r>
      <w:r>
        <w:rPr>
          <w:rFonts w:hint="eastAsia"/>
          <w:color w:val="000000"/>
          <w:sz w:val="32"/>
          <w:szCs w:val="32"/>
          <w:highlight w:val="none"/>
        </w:rPr>
        <w:t xml:space="preserve">  </w:t>
      </w:r>
      <w:r>
        <w:rPr>
          <w:rFonts w:hint="eastAsia" w:ascii="黑体" w:hAnsi="ˎ̥" w:eastAsia="黑体"/>
          <w:color w:val="000000"/>
          <w:sz w:val="32"/>
          <w:szCs w:val="32"/>
          <w:highlight w:val="none"/>
        </w:rPr>
        <w:t>202</w:t>
      </w:r>
      <w:r>
        <w:rPr>
          <w:rFonts w:hint="eastAsia" w:ascii="黑体" w:hAnsi="ˎ̥" w:eastAsia="黑体"/>
          <w:color w:val="000000"/>
          <w:sz w:val="32"/>
          <w:szCs w:val="32"/>
          <w:highlight w:val="none"/>
          <w:lang w:val="en-US" w:eastAsia="zh-CN"/>
        </w:rPr>
        <w:t>3</w:t>
      </w:r>
      <w:r>
        <w:rPr>
          <w:rFonts w:hint="eastAsia" w:ascii="黑体" w:hAnsi="ˎ̥" w:eastAsia="黑体"/>
          <w:color w:val="000000"/>
          <w:sz w:val="32"/>
          <w:szCs w:val="32"/>
          <w:highlight w:val="none"/>
        </w:rPr>
        <w:t>年度部门决算情况说明</w:t>
      </w:r>
      <w:r>
        <w:rPr>
          <w:color w:val="000000"/>
          <w:sz w:val="32"/>
          <w:szCs w:val="32"/>
          <w:highlight w:val="none"/>
        </w:rPr>
        <w:tab/>
      </w:r>
      <w:r>
        <w:rPr>
          <w:rFonts w:hint="eastAsia"/>
          <w:color w:val="000000"/>
          <w:sz w:val="32"/>
          <w:szCs w:val="32"/>
          <w:highlight w:val="none"/>
          <w:lang w:val="en-US" w:eastAsia="zh-CN"/>
        </w:rPr>
        <w:t>3</w:t>
      </w:r>
      <w:r>
        <w:rPr>
          <w:color w:val="000000"/>
          <w:sz w:val="32"/>
          <w:szCs w:val="32"/>
          <w:highlight w:val="none"/>
        </w:rPr>
        <w:fldChar w:fldCharType="end"/>
      </w:r>
    </w:p>
    <w:p w14:paraId="0ACE620F">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_Toc21737_WPSOffice_Level2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一、收入支出总体情况说明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3</w:t>
      </w:r>
      <w:r>
        <w:rPr>
          <w:rFonts w:hint="eastAsia" w:ascii="仿宋" w:hAnsi="仿宋" w:eastAsia="仿宋" w:cs="仿宋"/>
          <w:color w:val="000000"/>
          <w:sz w:val="32"/>
          <w:szCs w:val="32"/>
          <w:highlight w:val="none"/>
        </w:rPr>
        <w:fldChar w:fldCharType="end"/>
      </w:r>
    </w:p>
    <w:p w14:paraId="2E5A7838">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二、收入决算情况说明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3</w:t>
      </w:r>
      <w:r>
        <w:rPr>
          <w:rFonts w:hint="eastAsia" w:ascii="仿宋" w:hAnsi="仿宋" w:eastAsia="仿宋" w:cs="仿宋"/>
          <w:color w:val="000000"/>
          <w:sz w:val="32"/>
          <w:szCs w:val="32"/>
          <w:highlight w:val="none"/>
        </w:rPr>
        <w:fldChar w:fldCharType="end"/>
      </w:r>
    </w:p>
    <w:p w14:paraId="1D533FCE">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三、支出决算情况说明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4</w:t>
      </w:r>
      <w:r>
        <w:rPr>
          <w:rFonts w:hint="eastAsia" w:ascii="仿宋" w:hAnsi="仿宋" w:eastAsia="仿宋" w:cs="仿宋"/>
          <w:color w:val="000000"/>
          <w:sz w:val="32"/>
          <w:szCs w:val="32"/>
          <w:highlight w:val="none"/>
        </w:rPr>
        <w:fldChar w:fldCharType="end"/>
      </w:r>
    </w:p>
    <w:p w14:paraId="3D85FDA7">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四、财政拨款收入支出决算情况说明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4</w:t>
      </w:r>
      <w:r>
        <w:rPr>
          <w:rFonts w:hint="eastAsia" w:ascii="仿宋" w:hAnsi="仿宋" w:eastAsia="仿宋" w:cs="仿宋"/>
          <w:color w:val="000000"/>
          <w:sz w:val="32"/>
          <w:szCs w:val="32"/>
          <w:highlight w:val="none"/>
        </w:rPr>
        <w:fldChar w:fldCharType="end"/>
      </w:r>
    </w:p>
    <w:p w14:paraId="02155FF3">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五、一般公共预算财政拨款支出决算情况说明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5</w:t>
      </w:r>
      <w:r>
        <w:rPr>
          <w:rFonts w:hint="eastAsia" w:ascii="仿宋" w:hAnsi="仿宋" w:eastAsia="仿宋" w:cs="仿宋"/>
          <w:color w:val="000000"/>
          <w:sz w:val="32"/>
          <w:szCs w:val="32"/>
          <w:highlight w:val="none"/>
        </w:rPr>
        <w:fldChar w:fldCharType="end"/>
      </w:r>
    </w:p>
    <w:p w14:paraId="51E029B0">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lang w:eastAsia="zh-CN"/>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六、一般公共预算财政拨款基本支出决算情况说明</w:t>
      </w:r>
      <w:r>
        <w:rPr>
          <w:rFonts w:hint="eastAsia" w:ascii="仿宋" w:hAnsi="仿宋" w:eastAsia="仿宋" w:cs="仿宋"/>
          <w:color w:val="000000"/>
          <w:sz w:val="32"/>
          <w:szCs w:val="32"/>
          <w:highlight w:val="none"/>
        </w:rPr>
        <w:fldChar w:fldCharType="end"/>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6</w:t>
      </w:r>
    </w:p>
    <w:p w14:paraId="1860F35B">
      <w:pPr>
        <w:pStyle w:val="8"/>
        <w:keepNext w:val="0"/>
        <w:keepLines w:val="0"/>
        <w:pageBreakBefore w:val="0"/>
        <w:numPr>
          <w:ilvl w:val="0"/>
          <w:numId w:val="1"/>
        </w:numPr>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bCs/>
          <w:color w:val="000000"/>
          <w:sz w:val="32"/>
          <w:szCs w:val="32"/>
          <w:highlight w:val="none"/>
        </w:rPr>
        <w:t>政府性基金预算财政拨款支出决算情况说明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7</w:t>
      </w:r>
    </w:p>
    <w:p w14:paraId="5CFFBB1F">
      <w:pPr>
        <w:pStyle w:val="8"/>
        <w:keepNext w:val="0"/>
        <w:keepLines w:val="0"/>
        <w:pageBreakBefore w:val="0"/>
        <w:numPr>
          <w:ilvl w:val="0"/>
          <w:numId w:val="1"/>
        </w:numPr>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bCs/>
          <w:color w:val="000000"/>
          <w:sz w:val="32"/>
          <w:szCs w:val="32"/>
          <w:highlight w:val="none"/>
        </w:rPr>
        <w:t>国有资本经营预算财政拨款支出决算情况说明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rPr>
        <w:t>8</w:t>
      </w:r>
    </w:p>
    <w:p w14:paraId="6E00FB1F">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九、财政拨款“三公”经费支出决算情况说明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9</w:t>
      </w:r>
      <w:r>
        <w:rPr>
          <w:rFonts w:hint="eastAsia" w:ascii="仿宋" w:hAnsi="仿宋" w:eastAsia="仿宋" w:cs="仿宋"/>
          <w:color w:val="000000"/>
          <w:sz w:val="32"/>
          <w:szCs w:val="32"/>
          <w:highlight w:val="none"/>
        </w:rPr>
        <w:fldChar w:fldCharType="end"/>
      </w:r>
    </w:p>
    <w:p w14:paraId="2F134272">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十、预算绩效情况说明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rPr>
        <w:fldChar w:fldCharType="end"/>
      </w:r>
      <w:r>
        <w:rPr>
          <w:rFonts w:hint="eastAsia" w:ascii="仿宋" w:hAnsi="仿宋" w:eastAsia="仿宋" w:cs="仿宋"/>
          <w:color w:val="000000"/>
          <w:sz w:val="32"/>
          <w:szCs w:val="32"/>
          <w:highlight w:val="none"/>
        </w:rPr>
        <w:t>11</w:t>
      </w:r>
    </w:p>
    <w:p w14:paraId="242F468D">
      <w:pPr>
        <w:pStyle w:val="8"/>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lang w:eastAsia="zh-CN"/>
        </w:rPr>
      </w:pPr>
      <w:r>
        <w:rPr>
          <w:rFonts w:hint="eastAsia" w:ascii="仿宋" w:hAnsi="仿宋" w:eastAsia="仿宋" w:cs="仿宋"/>
          <w:bCs/>
          <w:color w:val="000000"/>
          <w:sz w:val="32"/>
          <w:szCs w:val="32"/>
          <w:highlight w:val="none"/>
        </w:rPr>
        <w:t>十一、其他重要事项情况说明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rPr>
        <w:t>1</w:t>
      </w:r>
      <w:r>
        <w:rPr>
          <w:rFonts w:hint="eastAsia" w:ascii="仿宋" w:hAnsi="仿宋" w:eastAsia="仿宋" w:cs="仿宋"/>
          <w:color w:val="000000"/>
          <w:sz w:val="32"/>
          <w:szCs w:val="32"/>
          <w:highlight w:val="none"/>
          <w:lang w:val="en-US" w:eastAsia="zh-CN"/>
        </w:rPr>
        <w:t>3</w:t>
      </w:r>
    </w:p>
    <w:p w14:paraId="3178814C">
      <w:pPr>
        <w:pStyle w:val="7"/>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黑体" w:hAnsi="ˎ̥" w:eastAsia="宋体"/>
          <w:b/>
          <w:color w:val="000000"/>
          <w:sz w:val="32"/>
          <w:szCs w:val="32"/>
          <w:highlight w:val="none"/>
          <w:lang w:eastAsia="zh-CN"/>
        </w:rPr>
      </w:pPr>
      <w:r>
        <w:rPr>
          <w:color w:val="000000"/>
          <w:sz w:val="32"/>
          <w:szCs w:val="32"/>
          <w:highlight w:val="none"/>
        </w:rPr>
        <w:fldChar w:fldCharType="begin"/>
      </w:r>
      <w:r>
        <w:rPr>
          <w:color w:val="000000"/>
          <w:sz w:val="32"/>
          <w:szCs w:val="32"/>
          <w:highlight w:val="none"/>
        </w:rPr>
        <w:instrText xml:space="preserve"> HYPERLINK \l _Toc15425_WPSOffice_Level1 </w:instrText>
      </w:r>
      <w:r>
        <w:rPr>
          <w:color w:val="000000"/>
          <w:sz w:val="32"/>
          <w:szCs w:val="32"/>
          <w:highlight w:val="none"/>
        </w:rPr>
        <w:fldChar w:fldCharType="separate"/>
      </w:r>
      <w:r>
        <w:rPr>
          <w:rFonts w:hint="eastAsia" w:ascii="黑体" w:hAnsi="ˎ̥" w:eastAsia="黑体"/>
          <w:color w:val="000000"/>
          <w:sz w:val="32"/>
          <w:szCs w:val="32"/>
          <w:highlight w:val="none"/>
        </w:rPr>
        <w:t>第四部分  名词解释</w:t>
      </w:r>
      <w:r>
        <w:rPr>
          <w:color w:val="000000"/>
          <w:sz w:val="32"/>
          <w:szCs w:val="32"/>
          <w:highlight w:val="none"/>
        </w:rPr>
        <w:tab/>
      </w:r>
      <w:bookmarkStart w:id="1" w:name="_Toc15425_WPSOffice_Level1Page"/>
      <w:r>
        <w:rPr>
          <w:color w:val="000000"/>
          <w:sz w:val="32"/>
          <w:szCs w:val="32"/>
          <w:highlight w:val="none"/>
        </w:rPr>
        <w:t>1</w:t>
      </w:r>
      <w:bookmarkEnd w:id="1"/>
      <w:r>
        <w:rPr>
          <w:color w:val="000000"/>
          <w:sz w:val="32"/>
          <w:szCs w:val="32"/>
          <w:highlight w:val="none"/>
        </w:rPr>
        <w:fldChar w:fldCharType="end"/>
      </w:r>
      <w:bookmarkEnd w:id="0"/>
      <w:r>
        <w:rPr>
          <w:rFonts w:hint="eastAsia"/>
          <w:color w:val="000000"/>
          <w:sz w:val="32"/>
          <w:szCs w:val="32"/>
          <w:highlight w:val="none"/>
          <w:lang w:val="en-US" w:eastAsia="zh-CN"/>
        </w:rPr>
        <w:t>5</w:t>
      </w:r>
    </w:p>
    <w:p w14:paraId="30AC0DA7">
      <w:pPr>
        <w:jc w:val="center"/>
        <w:rPr>
          <w:rFonts w:hint="eastAsia" w:ascii="黑体" w:hAnsi="ˎ̥" w:eastAsia="黑体"/>
          <w:color w:val="000000"/>
          <w:sz w:val="32"/>
          <w:szCs w:val="32"/>
          <w:highlight w:val="none"/>
        </w:rPr>
      </w:pPr>
      <w:bookmarkStart w:id="2" w:name="_Toc22941_WPSOffice_Level1"/>
      <w:bookmarkStart w:id="3" w:name="_Toc10049_WPSOffice_Level1"/>
      <w:bookmarkStart w:id="4" w:name="_Toc32433_WPSOffice_Level1"/>
      <w:bookmarkStart w:id="5" w:name="_Toc23465_WPSOffice_Level1"/>
      <w:bookmarkStart w:id="6" w:name="_Toc10720_WPSOffice_Level1"/>
      <w:bookmarkStart w:id="7" w:name="_Toc1704_WPSOffice_Level1"/>
      <w:bookmarkStart w:id="8" w:name="_Toc26580_WPSOffice_Level2"/>
      <w:bookmarkStart w:id="9" w:name="_Toc24238_WPSOffice_Level2"/>
      <w:bookmarkStart w:id="10" w:name="_Toc20205_WPSOffice_Level2"/>
      <w:bookmarkStart w:id="11" w:name="_Toc32622_WPSOffice_Level2"/>
      <w:bookmarkStart w:id="12" w:name="_Toc20274_WPSOffice_Level2"/>
      <w:bookmarkStart w:id="13" w:name="_Toc14159_WPSOffice_Level2"/>
    </w:p>
    <w:p w14:paraId="61B269D0">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r>
        <w:rPr>
          <w:rFonts w:hint="eastAsia" w:ascii="黑体" w:hAnsi="ˎ̥" w:eastAsia="黑体"/>
          <w:color w:val="000000"/>
          <w:sz w:val="32"/>
          <w:szCs w:val="32"/>
          <w:highlight w:val="none"/>
        </w:rPr>
        <w:br w:type="page"/>
      </w:r>
      <w:r>
        <w:rPr>
          <w:rFonts w:hint="eastAsia" w:ascii="黑体" w:hAnsi="ˎ̥" w:eastAsia="黑体"/>
          <w:color w:val="000000"/>
          <w:sz w:val="32"/>
          <w:szCs w:val="32"/>
          <w:highlight w:val="none"/>
        </w:rPr>
        <w:t xml:space="preserve">第一部分  </w:t>
      </w:r>
      <w:bookmarkEnd w:id="2"/>
      <w:bookmarkEnd w:id="3"/>
      <w:bookmarkEnd w:id="4"/>
      <w:bookmarkEnd w:id="5"/>
      <w:bookmarkEnd w:id="6"/>
      <w:bookmarkEnd w:id="7"/>
      <w:r>
        <w:rPr>
          <w:rFonts w:hint="eastAsia" w:ascii="黑体" w:hAnsi="ˎ̥" w:eastAsia="黑体"/>
          <w:color w:val="000000"/>
          <w:sz w:val="32"/>
          <w:szCs w:val="32"/>
          <w:highlight w:val="none"/>
        </w:rPr>
        <w:t>基本情况</w:t>
      </w:r>
    </w:p>
    <w:p w14:paraId="59281D7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p>
    <w:bookmarkEnd w:id="8"/>
    <w:bookmarkEnd w:id="9"/>
    <w:bookmarkEnd w:id="10"/>
    <w:bookmarkEnd w:id="11"/>
    <w:bookmarkEnd w:id="12"/>
    <w:bookmarkEnd w:id="13"/>
    <w:p w14:paraId="6F576FE2">
      <w:pPr>
        <w:pStyle w:val="9"/>
        <w:numPr>
          <w:ilvl w:val="0"/>
          <w:numId w:val="2"/>
        </w:numPr>
        <w:spacing w:before="0" w:beforeAutospacing="1" w:after="0" w:afterAutospacing="1"/>
        <w:ind w:left="720" w:hanging="720" w:firstLineChars="0"/>
        <w:rPr>
          <w:rFonts w:hint="eastAsia" w:ascii="黑体" w:hAnsi="宋体" w:eastAsia="黑体" w:cs="黑体"/>
          <w:sz w:val="32"/>
          <w:szCs w:val="32"/>
          <w:lang w:val="en-US"/>
        </w:rPr>
      </w:pPr>
      <w:r>
        <w:rPr>
          <w:rFonts w:hint="eastAsia" w:ascii="黑体" w:hAnsi="ˎ̥" w:eastAsia="黑体" w:cs="黑体"/>
          <w:sz w:val="32"/>
          <w:szCs w:val="32"/>
          <w:lang w:eastAsia="zh-CN"/>
        </w:rPr>
        <w:t>海南六连岭省级自然保护区管理站</w:t>
      </w:r>
      <w:r>
        <w:rPr>
          <w:rFonts w:hint="eastAsia" w:ascii="黑体" w:hAnsi="宋体" w:eastAsia="黑体" w:cs="黑体"/>
          <w:sz w:val="32"/>
          <w:szCs w:val="32"/>
          <w:lang w:eastAsia="zh-CN"/>
        </w:rPr>
        <w:t>职责</w:t>
      </w:r>
    </w:p>
    <w:p w14:paraId="128DF700">
      <w:pPr>
        <w:pStyle w:val="3"/>
        <w:shd w:val="clear" w:fill="FFFFFF"/>
        <w:spacing w:line="360" w:lineRule="atLeast"/>
        <w:ind w:left="0" w:firstLine="600" w:firstLineChars="200"/>
        <w:rPr>
          <w:rFonts w:hint="eastAsia" w:ascii="仿宋" w:hAnsi="仿宋" w:eastAsia="仿宋" w:cs="仿宋"/>
          <w:color w:val="333333"/>
          <w:sz w:val="30"/>
          <w:szCs w:val="30"/>
          <w:shd w:val="clear" w:fill="FFFFFF"/>
          <w:lang w:val="en-US"/>
        </w:rPr>
      </w:pPr>
      <w:r>
        <w:rPr>
          <w:rFonts w:hint="eastAsia" w:ascii="仿宋" w:hAnsi="仿宋" w:eastAsia="仿宋" w:cs="仿宋"/>
          <w:color w:val="333333"/>
          <w:sz w:val="30"/>
          <w:szCs w:val="30"/>
          <w:shd w:val="clear" w:fill="FFFFFF"/>
          <w:lang w:val="en-US" w:eastAsia="zh-CN"/>
        </w:rPr>
        <w:t>㈠负责保护区森林资源的保护和建设管理工作。</w:t>
      </w:r>
    </w:p>
    <w:p w14:paraId="52048AA6">
      <w:pPr>
        <w:pStyle w:val="3"/>
        <w:shd w:val="clear" w:fill="FFFFFF"/>
        <w:spacing w:line="360" w:lineRule="atLeast"/>
        <w:ind w:left="0" w:firstLine="600" w:firstLineChars="200"/>
        <w:rPr>
          <w:rFonts w:hint="eastAsia" w:ascii="仿宋" w:hAnsi="仿宋" w:eastAsia="仿宋" w:cs="仿宋"/>
          <w:color w:val="333333"/>
          <w:sz w:val="30"/>
          <w:szCs w:val="30"/>
          <w:shd w:val="clear" w:fill="FFFFFF"/>
          <w:lang w:val="en-US"/>
        </w:rPr>
      </w:pPr>
      <w:r>
        <w:rPr>
          <w:rFonts w:hint="eastAsia" w:ascii="仿宋" w:hAnsi="仿宋" w:eastAsia="仿宋" w:cs="仿宋"/>
          <w:color w:val="333333"/>
          <w:sz w:val="30"/>
          <w:szCs w:val="30"/>
          <w:shd w:val="clear" w:fill="FFFFFF"/>
          <w:lang w:val="en-US" w:eastAsia="zh-CN"/>
        </w:rPr>
        <w:t>㈡负责保护区森林资源科研监测工作。</w:t>
      </w:r>
    </w:p>
    <w:p w14:paraId="697CB6D9">
      <w:pPr>
        <w:pStyle w:val="3"/>
        <w:shd w:val="clear" w:fill="FFFFFF"/>
        <w:spacing w:line="360" w:lineRule="atLeast"/>
        <w:ind w:left="0" w:firstLine="600" w:firstLineChars="200"/>
        <w:rPr>
          <w:rFonts w:hint="eastAsia" w:ascii="仿宋" w:hAnsi="仿宋" w:eastAsia="仿宋" w:cs="仿宋"/>
          <w:color w:val="333333"/>
          <w:sz w:val="30"/>
          <w:szCs w:val="30"/>
          <w:shd w:val="clear" w:fill="FFFFFF"/>
          <w:lang w:val="en-US"/>
        </w:rPr>
      </w:pPr>
      <w:r>
        <w:rPr>
          <w:rFonts w:hint="eastAsia" w:ascii="仿宋" w:hAnsi="仿宋" w:eastAsia="仿宋" w:cs="仿宋"/>
          <w:color w:val="333333"/>
          <w:sz w:val="30"/>
          <w:szCs w:val="30"/>
          <w:shd w:val="clear" w:fill="FFFFFF"/>
          <w:lang w:val="en-US" w:eastAsia="zh-CN"/>
        </w:rPr>
        <w:t>㈢负责保护区生态环境宣传教育工作。</w:t>
      </w:r>
    </w:p>
    <w:p w14:paraId="12AB46DB">
      <w:pPr>
        <w:pStyle w:val="3"/>
        <w:shd w:val="clear" w:fill="FFFFFF"/>
        <w:spacing w:line="360" w:lineRule="atLeast"/>
        <w:ind w:left="0" w:firstLine="600" w:firstLineChars="200"/>
        <w:rPr>
          <w:rFonts w:hint="eastAsia" w:ascii="仿宋" w:hAnsi="仿宋" w:eastAsia="仿宋" w:cs="仿宋"/>
          <w:color w:val="333333"/>
          <w:sz w:val="30"/>
          <w:szCs w:val="30"/>
          <w:shd w:val="clear" w:fill="FFFFFF"/>
          <w:lang w:val="en-US"/>
        </w:rPr>
      </w:pPr>
      <w:r>
        <w:rPr>
          <w:rFonts w:hint="eastAsia" w:ascii="仿宋" w:hAnsi="仿宋" w:eastAsia="仿宋" w:cs="仿宋"/>
          <w:color w:val="333333"/>
          <w:sz w:val="30"/>
          <w:szCs w:val="30"/>
          <w:shd w:val="clear" w:fill="FFFFFF"/>
          <w:lang w:val="en-US" w:eastAsia="zh-CN"/>
        </w:rPr>
        <w:t>㈣负责协调社区开展森林资源共管工作。</w:t>
      </w:r>
    </w:p>
    <w:p w14:paraId="008D0540">
      <w:pPr>
        <w:spacing w:before="0" w:beforeAutospacing="1" w:after="0" w:afterAutospacing="1"/>
        <w:ind w:left="0" w:firstLine="600" w:firstLineChars="200"/>
        <w:rPr>
          <w:rFonts w:hint="eastAsia" w:ascii="黑体" w:hAnsi="宋体" w:eastAsia="黑体" w:cs="黑体"/>
          <w:sz w:val="32"/>
          <w:szCs w:val="32"/>
          <w:lang w:val="en-US"/>
        </w:rPr>
      </w:pPr>
      <w:r>
        <w:rPr>
          <w:rFonts w:hint="eastAsia" w:ascii="仿宋" w:hAnsi="仿宋" w:eastAsia="仿宋" w:cs="仿宋"/>
          <w:color w:val="333333"/>
          <w:sz w:val="30"/>
          <w:szCs w:val="30"/>
          <w:lang w:val="en-US" w:eastAsia="zh-CN"/>
        </w:rPr>
        <w:t>㈤承办上级主管部门交办的其他工作。</w:t>
      </w:r>
    </w:p>
    <w:p w14:paraId="58BA78B7">
      <w:pPr>
        <w:pStyle w:val="9"/>
        <w:numPr>
          <w:ilvl w:val="0"/>
          <w:numId w:val="0"/>
        </w:numPr>
        <w:spacing w:before="0" w:beforeAutospacing="1" w:after="0" w:afterAutospacing="1"/>
        <w:ind w:leftChars="0" w:right="0" w:rightChars="0"/>
        <w:rPr>
          <w:rFonts w:hint="eastAsia" w:ascii="黑体" w:hAnsi="宋体" w:eastAsia="黑体" w:cs="黑体"/>
          <w:sz w:val="32"/>
          <w:szCs w:val="32"/>
          <w:lang w:val="en-US"/>
        </w:rPr>
      </w:pPr>
    </w:p>
    <w:p w14:paraId="69B7321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sz w:val="32"/>
          <w:szCs w:val="32"/>
          <w:highlight w:val="none"/>
        </w:rPr>
      </w:pPr>
    </w:p>
    <w:p w14:paraId="1E807CD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sz w:val="32"/>
          <w:szCs w:val="32"/>
          <w:highlight w:val="none"/>
        </w:rPr>
      </w:pPr>
      <w:bookmarkStart w:id="14" w:name="_Toc24059_WPSOffice_Level2"/>
      <w:bookmarkStart w:id="15" w:name="_Toc24474_WPSOffice_Level2"/>
      <w:bookmarkStart w:id="16" w:name="_Toc4833_WPSOffice_Level2"/>
      <w:bookmarkStart w:id="17" w:name="_Toc6572_WPSOffice_Level2"/>
      <w:bookmarkStart w:id="18" w:name="_Toc17796_WPSOffice_Level2"/>
      <w:r>
        <w:rPr>
          <w:rFonts w:hint="eastAsia" w:ascii="黑体" w:hAnsi="黑体" w:eastAsia="黑体" w:cs="黑体"/>
          <w:color w:val="000000"/>
          <w:sz w:val="32"/>
          <w:szCs w:val="32"/>
          <w:highlight w:val="none"/>
        </w:rPr>
        <w:t>二、机构设置</w:t>
      </w:r>
      <w:bookmarkEnd w:id="14"/>
      <w:bookmarkEnd w:id="15"/>
      <w:bookmarkEnd w:id="16"/>
      <w:bookmarkEnd w:id="17"/>
      <w:bookmarkEnd w:id="18"/>
    </w:p>
    <w:p w14:paraId="02AC2A65">
      <w:pPr>
        <w:pStyle w:val="3"/>
        <w:shd w:val="clear" w:fill="FFFFFF"/>
        <w:rPr>
          <w:rFonts w:hint="default" w:ascii="serif" w:hAnsi="微软雅黑" w:eastAsia="serif" w:cs="serif"/>
          <w:sz w:val="32"/>
          <w:szCs w:val="32"/>
          <w:shd w:val="clear" w:fill="FFFFFF"/>
          <w:lang w:val="en-US"/>
        </w:rPr>
      </w:pPr>
      <w:bookmarkStart w:id="19" w:name="_Toc24421_WPSOffice_Level2"/>
      <w:bookmarkStart w:id="20" w:name="_Toc25738_WPSOffice_Level2"/>
      <w:bookmarkStart w:id="21" w:name="_Toc6234_WPSOffice_Level1"/>
      <w:bookmarkStart w:id="22" w:name="_Toc30451_WPSOffice_Level1"/>
      <w:bookmarkStart w:id="23" w:name="_Toc30690_WPSOffice_Level1"/>
      <w:bookmarkStart w:id="24" w:name="_Toc8164_WPSOffice_Level1"/>
      <w:bookmarkStart w:id="25" w:name="_Toc28253_WPSOffice_Level1"/>
      <w:bookmarkStart w:id="26" w:name="_Toc15521_WPSOffice_Level1"/>
      <w:bookmarkStart w:id="27" w:name="_Toc32472_WPSOffice_Level2"/>
      <w:bookmarkStart w:id="28" w:name="_Toc6211_WPSOffice_Level2"/>
      <w:bookmarkStart w:id="29" w:name="_Toc4029_WPSOffice_Level2"/>
      <w:bookmarkStart w:id="30" w:name="_Toc11518_WPSOffice_Level2"/>
      <w:bookmarkStart w:id="31" w:name="_Toc8867_WPSOffice_Level2"/>
      <w:bookmarkStart w:id="32" w:name="_Toc32695_WPSOffice_Level2"/>
      <w:r>
        <w:rPr>
          <w:rFonts w:ascii="serif" w:hAnsi="微软雅黑" w:eastAsia="serif" w:cs="serif"/>
          <w:color w:val="333333"/>
          <w:sz w:val="32"/>
          <w:szCs w:val="32"/>
          <w:shd w:val="clear" w:fill="FFFFFF"/>
          <w:lang w:val="en-US" w:eastAsia="zh-CN"/>
        </w:rPr>
        <w:t>海南六连岭省级自然保护区管理站</w:t>
      </w:r>
      <w:r>
        <w:rPr>
          <w:rFonts w:hint="default" w:ascii="serif" w:hAnsi="微软雅黑" w:eastAsia="serif" w:cs="serif"/>
          <w:sz w:val="32"/>
          <w:szCs w:val="32"/>
          <w:shd w:val="clear" w:fill="FFFFFF"/>
          <w:lang w:val="en-US" w:eastAsia="zh-CN"/>
        </w:rPr>
        <w:t>纳入海南省林业局（部门）</w:t>
      </w:r>
      <w:r>
        <w:rPr>
          <w:rFonts w:hint="eastAsia" w:ascii="serif" w:hAnsi="微软雅黑" w:eastAsia="serif" w:cs="serif"/>
          <w:sz w:val="32"/>
          <w:szCs w:val="32"/>
          <w:shd w:val="clear" w:fill="FFFFFF"/>
          <w:lang w:val="en-US" w:eastAsia="zh-CN"/>
        </w:rPr>
        <w:t>2023</w:t>
      </w:r>
      <w:r>
        <w:rPr>
          <w:rFonts w:hint="default" w:ascii="serif" w:hAnsi="微软雅黑" w:eastAsia="serif" w:cs="serif"/>
          <w:sz w:val="32"/>
          <w:szCs w:val="32"/>
          <w:shd w:val="clear" w:fill="FFFFFF"/>
          <w:lang w:val="en-US" w:eastAsia="zh-CN"/>
        </w:rPr>
        <w:t>年部门决算编制范围的二级单位。</w:t>
      </w:r>
    </w:p>
    <w:bookmarkEnd w:id="19"/>
    <w:bookmarkEnd w:id="20"/>
    <w:p w14:paraId="78EA89A2">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p>
    <w:p w14:paraId="33C5005A">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r>
        <w:rPr>
          <w:rFonts w:hint="eastAsia" w:ascii="黑体" w:hAnsi="ˎ̥" w:eastAsia="黑体"/>
          <w:color w:val="000000"/>
          <w:sz w:val="32"/>
          <w:szCs w:val="32"/>
          <w:highlight w:val="none"/>
        </w:rPr>
        <w:t>第二部分  202</w:t>
      </w:r>
      <w:r>
        <w:rPr>
          <w:rFonts w:hint="eastAsia" w:ascii="黑体" w:hAnsi="ˎ̥" w:eastAsia="黑体"/>
          <w:color w:val="000000"/>
          <w:sz w:val="32"/>
          <w:szCs w:val="32"/>
          <w:highlight w:val="none"/>
          <w:lang w:val="en-US" w:eastAsia="zh-CN"/>
        </w:rPr>
        <w:t>3</w:t>
      </w:r>
      <w:r>
        <w:rPr>
          <w:rFonts w:hint="eastAsia" w:ascii="黑体" w:hAnsi="ˎ̥" w:eastAsia="黑体"/>
          <w:color w:val="000000"/>
          <w:sz w:val="32"/>
          <w:szCs w:val="32"/>
          <w:highlight w:val="none"/>
        </w:rPr>
        <w:t>年度部门决算公开报表</w:t>
      </w:r>
      <w:bookmarkEnd w:id="21"/>
      <w:bookmarkEnd w:id="22"/>
      <w:bookmarkEnd w:id="23"/>
      <w:bookmarkEnd w:id="24"/>
      <w:bookmarkEnd w:id="25"/>
      <w:bookmarkEnd w:id="26"/>
    </w:p>
    <w:p w14:paraId="6D264D8D">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p>
    <w:p w14:paraId="43990877">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一、收入支出决算公开表</w:t>
      </w:r>
      <w:bookmarkEnd w:id="27"/>
      <w:bookmarkEnd w:id="28"/>
      <w:bookmarkEnd w:id="29"/>
      <w:bookmarkEnd w:id="30"/>
      <w:bookmarkEnd w:id="31"/>
      <w:bookmarkEnd w:id="32"/>
    </w:p>
    <w:p w14:paraId="7C6ED726">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bookmarkStart w:id="33" w:name="_Toc28622_WPSOffice_Level2"/>
      <w:bookmarkStart w:id="34" w:name="_Toc26621_WPSOffice_Level2"/>
      <w:bookmarkStart w:id="35" w:name="_Toc14349_WPSOffice_Level2"/>
      <w:bookmarkStart w:id="36" w:name="_Toc25608_WPSOffice_Level2"/>
      <w:bookmarkStart w:id="37" w:name="_Toc30334_WPSOffice_Level2"/>
      <w:bookmarkStart w:id="38" w:name="_Toc23139_WPSOffice_Level2"/>
      <w:r>
        <w:rPr>
          <w:rFonts w:hint="eastAsia" w:ascii="黑体" w:hAnsi="黑体" w:eastAsia="黑体" w:cs="黑体"/>
          <w:color w:val="000000"/>
          <w:sz w:val="32"/>
          <w:szCs w:val="32"/>
          <w:highlight w:val="none"/>
        </w:rPr>
        <w:t>二、收入决算公开表</w:t>
      </w:r>
      <w:bookmarkEnd w:id="33"/>
      <w:bookmarkEnd w:id="34"/>
      <w:bookmarkEnd w:id="35"/>
      <w:bookmarkEnd w:id="36"/>
      <w:bookmarkEnd w:id="37"/>
      <w:bookmarkEnd w:id="38"/>
      <w:bookmarkStart w:id="39" w:name="_Toc17626_WPSOffice_Level2"/>
      <w:bookmarkStart w:id="40" w:name="_Toc14658_WPSOffice_Level2"/>
      <w:bookmarkStart w:id="41" w:name="_Toc13854_WPSOffice_Level2"/>
      <w:bookmarkStart w:id="42" w:name="_Toc5489_WPSOffice_Level2"/>
      <w:bookmarkStart w:id="43" w:name="_Toc17858_WPSOffice_Level2"/>
      <w:bookmarkStart w:id="44" w:name="_Toc3262_WPSOffice_Level2"/>
    </w:p>
    <w:p w14:paraId="3642715B">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三、支出决算公开表</w:t>
      </w:r>
      <w:bookmarkEnd w:id="39"/>
      <w:bookmarkEnd w:id="40"/>
      <w:bookmarkEnd w:id="41"/>
      <w:bookmarkEnd w:id="42"/>
      <w:bookmarkEnd w:id="43"/>
      <w:bookmarkEnd w:id="44"/>
      <w:bookmarkStart w:id="45" w:name="_Toc21415_WPSOffice_Level2"/>
      <w:bookmarkStart w:id="46" w:name="_Toc4265_WPSOffice_Level2"/>
      <w:bookmarkStart w:id="47" w:name="_Toc23591_WPSOffice_Level2"/>
      <w:bookmarkStart w:id="48" w:name="_Toc23493_WPSOffice_Level2"/>
      <w:bookmarkStart w:id="49" w:name="_Toc7988_WPSOffice_Level2"/>
      <w:bookmarkStart w:id="50" w:name="_Toc13701_WPSOffice_Level2"/>
    </w:p>
    <w:p w14:paraId="46B04B8E">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四、财政拨款收入支出决算公开表</w:t>
      </w:r>
      <w:bookmarkEnd w:id="45"/>
      <w:bookmarkEnd w:id="46"/>
      <w:bookmarkEnd w:id="47"/>
      <w:bookmarkEnd w:id="48"/>
      <w:bookmarkEnd w:id="49"/>
      <w:bookmarkEnd w:id="50"/>
    </w:p>
    <w:p w14:paraId="006F6F54">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bookmarkStart w:id="51" w:name="_Toc23829_WPSOffice_Level2"/>
      <w:bookmarkStart w:id="52" w:name="_Toc25166_WPSOffice_Level2"/>
      <w:bookmarkStart w:id="53" w:name="_Toc7879_WPSOffice_Level2"/>
      <w:bookmarkStart w:id="54" w:name="_Toc22783_WPSOffice_Level2"/>
      <w:bookmarkStart w:id="55" w:name="_Toc2158_WPSOffice_Level2"/>
      <w:bookmarkStart w:id="56" w:name="_Toc13516_WPSOffice_Level2"/>
      <w:r>
        <w:rPr>
          <w:rFonts w:hint="eastAsia" w:ascii="黑体" w:hAnsi="黑体" w:eastAsia="黑体" w:cs="黑体"/>
          <w:color w:val="000000"/>
          <w:sz w:val="32"/>
          <w:szCs w:val="32"/>
          <w:highlight w:val="none"/>
        </w:rPr>
        <w:t>五、一般公共预算财政拨款收入支出决算</w:t>
      </w:r>
      <w:bookmarkEnd w:id="51"/>
      <w:bookmarkEnd w:id="52"/>
      <w:bookmarkEnd w:id="53"/>
      <w:bookmarkEnd w:id="54"/>
      <w:r>
        <w:rPr>
          <w:rFonts w:hint="eastAsia" w:ascii="黑体" w:hAnsi="黑体" w:eastAsia="黑体" w:cs="黑体"/>
          <w:color w:val="000000"/>
          <w:sz w:val="32"/>
          <w:szCs w:val="32"/>
          <w:highlight w:val="none"/>
        </w:rPr>
        <w:t>公开表</w:t>
      </w:r>
      <w:bookmarkEnd w:id="55"/>
      <w:bookmarkEnd w:id="56"/>
      <w:bookmarkStart w:id="57" w:name="_Toc2632_WPSOffice_Level2"/>
      <w:bookmarkStart w:id="58" w:name="_Toc25362_WPSOffice_Level2"/>
      <w:bookmarkStart w:id="59" w:name="_Toc5343_WPSOffice_Level2"/>
      <w:bookmarkStart w:id="60" w:name="_Toc8373_WPSOffice_Level2"/>
      <w:bookmarkStart w:id="61" w:name="_Toc17833_WPSOffice_Level2"/>
      <w:bookmarkStart w:id="62" w:name="_Toc17283_WPSOffice_Level2"/>
    </w:p>
    <w:p w14:paraId="626ADDF9">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六、一般公共预算财政拨款基本支出决算</w:t>
      </w:r>
      <w:bookmarkEnd w:id="57"/>
      <w:bookmarkEnd w:id="58"/>
      <w:bookmarkEnd w:id="59"/>
      <w:bookmarkEnd w:id="60"/>
      <w:bookmarkEnd w:id="61"/>
      <w:bookmarkEnd w:id="62"/>
      <w:r>
        <w:rPr>
          <w:rFonts w:hint="eastAsia" w:ascii="黑体" w:hAnsi="黑体" w:eastAsia="黑体" w:cs="黑体"/>
          <w:color w:val="000000"/>
          <w:sz w:val="32"/>
          <w:szCs w:val="32"/>
          <w:highlight w:val="none"/>
        </w:rPr>
        <w:t>公开表</w:t>
      </w:r>
    </w:p>
    <w:p w14:paraId="006C4251">
      <w:pPr>
        <w:keepNext w:val="0"/>
        <w:keepLines w:val="0"/>
        <w:pageBreakBefore w:val="0"/>
        <w:kinsoku/>
        <w:wordWrap/>
        <w:overflowPunct/>
        <w:topLinePunct w:val="0"/>
        <w:autoSpaceDE/>
        <w:autoSpaceDN/>
        <w:bidi w:val="0"/>
        <w:adjustRightInd/>
        <w:snapToGrid/>
        <w:spacing w:line="560" w:lineRule="exact"/>
        <w:ind w:left="1118" w:leftChars="304" w:hanging="480" w:hangingChars="150"/>
        <w:textAlignment w:val="auto"/>
        <w:rPr>
          <w:rFonts w:hint="eastAsia" w:ascii="黑体" w:hAnsi="黑体" w:eastAsia="黑体" w:cs="黑体"/>
          <w:color w:val="000000"/>
          <w:sz w:val="32"/>
          <w:szCs w:val="32"/>
          <w:highlight w:val="none"/>
        </w:rPr>
      </w:pPr>
      <w:bookmarkStart w:id="63" w:name="_Toc6020_WPSOffice_Level2"/>
      <w:bookmarkStart w:id="64" w:name="_Toc13345_WPSOffice_Level2"/>
      <w:bookmarkStart w:id="65" w:name="_Toc5594_WPSOffice_Level2"/>
      <w:bookmarkStart w:id="66" w:name="_Toc1533_WPSOffice_Level2"/>
      <w:bookmarkStart w:id="67" w:name="_Toc11799_WPSOffice_Level2"/>
      <w:bookmarkStart w:id="68" w:name="_Toc21310_WPSOffice_Level2"/>
      <w:r>
        <w:rPr>
          <w:rFonts w:hint="eastAsia" w:ascii="黑体" w:hAnsi="黑体" w:eastAsia="黑体" w:cs="黑体"/>
          <w:color w:val="000000"/>
          <w:sz w:val="32"/>
          <w:szCs w:val="32"/>
          <w:highlight w:val="none"/>
        </w:rPr>
        <w:t>七、政府性基金预算财政拨款收入支出决算</w:t>
      </w:r>
      <w:bookmarkEnd w:id="63"/>
      <w:bookmarkEnd w:id="64"/>
      <w:bookmarkEnd w:id="65"/>
      <w:bookmarkEnd w:id="66"/>
      <w:bookmarkEnd w:id="67"/>
      <w:bookmarkEnd w:id="68"/>
      <w:r>
        <w:rPr>
          <w:rFonts w:hint="eastAsia" w:ascii="黑体" w:hAnsi="黑体" w:eastAsia="黑体" w:cs="黑体"/>
          <w:color w:val="000000"/>
          <w:sz w:val="32"/>
          <w:szCs w:val="32"/>
          <w:highlight w:val="none"/>
        </w:rPr>
        <w:t>公开表</w:t>
      </w:r>
    </w:p>
    <w:p w14:paraId="37C6DB84">
      <w:pPr>
        <w:keepNext w:val="0"/>
        <w:keepLines w:val="0"/>
        <w:pageBreakBefore w:val="0"/>
        <w:kinsoku/>
        <w:wordWrap/>
        <w:overflowPunct/>
        <w:topLinePunct w:val="0"/>
        <w:autoSpaceDE/>
        <w:autoSpaceDN/>
        <w:bidi w:val="0"/>
        <w:adjustRightInd/>
        <w:snapToGrid/>
        <w:spacing w:line="560" w:lineRule="exact"/>
        <w:ind w:left="1118" w:leftChars="304" w:hanging="480" w:hangingChars="150"/>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八、国有资本经营预算财政拨款收入支出决算公开表</w:t>
      </w:r>
    </w:p>
    <w:p w14:paraId="2A07DB82">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color w:val="000000"/>
          <w:sz w:val="32"/>
          <w:szCs w:val="32"/>
          <w:highlight w:val="none"/>
        </w:rPr>
      </w:pPr>
      <w:bookmarkStart w:id="69" w:name="_Toc19961_WPSOffice_Level2"/>
      <w:bookmarkStart w:id="70" w:name="_Toc9377_WPSOffice_Level2"/>
      <w:bookmarkStart w:id="71" w:name="_Toc1820_WPSOffice_Level2"/>
      <w:bookmarkStart w:id="72" w:name="_Toc29886_WPSOffice_Level2"/>
      <w:r>
        <w:rPr>
          <w:rFonts w:hint="eastAsia" w:ascii="黑体" w:hAnsi="黑体" w:eastAsia="黑体" w:cs="黑体"/>
          <w:color w:val="000000"/>
          <w:sz w:val="32"/>
          <w:szCs w:val="32"/>
          <w:highlight w:val="none"/>
        </w:rPr>
        <w:t>九、财政拨款“三公”经费支出决算</w:t>
      </w:r>
      <w:bookmarkEnd w:id="69"/>
      <w:bookmarkEnd w:id="70"/>
      <w:bookmarkEnd w:id="71"/>
      <w:bookmarkEnd w:id="72"/>
      <w:r>
        <w:rPr>
          <w:rFonts w:hint="eastAsia" w:ascii="黑体" w:hAnsi="黑体" w:eastAsia="黑体" w:cs="黑体"/>
          <w:color w:val="000000"/>
          <w:sz w:val="32"/>
          <w:szCs w:val="32"/>
          <w:highlight w:val="none"/>
        </w:rPr>
        <w:t>公开表</w:t>
      </w:r>
    </w:p>
    <w:p w14:paraId="2804A61F">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color w:val="000000"/>
          <w:sz w:val="32"/>
          <w:szCs w:val="32"/>
          <w:highlight w:val="none"/>
        </w:rPr>
      </w:pPr>
      <w:r>
        <w:rPr>
          <w:rFonts w:hint="eastAsia" w:ascii="黑体" w:hAnsi="黑体" w:eastAsia="黑体" w:cs="黑体"/>
          <w:color w:val="000000"/>
          <w:w w:val="96"/>
          <w:sz w:val="32"/>
          <w:szCs w:val="32"/>
          <w:highlight w:val="none"/>
        </w:rPr>
        <w:t>以上报表见附件</w:t>
      </w:r>
      <w:r>
        <w:rPr>
          <w:rFonts w:hint="eastAsia" w:ascii="黑体" w:hAnsi="黑体" w:eastAsia="黑体" w:cs="黑体"/>
          <w:color w:val="000000"/>
          <w:w w:val="96"/>
          <w:sz w:val="32"/>
          <w:szCs w:val="32"/>
          <w:highlight w:val="none"/>
          <w:lang w:val="en-US" w:eastAsia="zh-CN"/>
        </w:rPr>
        <w:t>1</w:t>
      </w:r>
      <w:r>
        <w:rPr>
          <w:rFonts w:hint="eastAsia" w:ascii="黑体" w:hAnsi="黑体" w:eastAsia="黑体" w:cs="黑体"/>
          <w:color w:val="000000"/>
          <w:w w:val="96"/>
          <w:sz w:val="32"/>
          <w:szCs w:val="32"/>
          <w:highlight w:val="none"/>
        </w:rPr>
        <w:t xml:space="preserve">。   </w:t>
      </w:r>
    </w:p>
    <w:p w14:paraId="13855537">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黑体"/>
          <w:color w:val="000000"/>
          <w:sz w:val="32"/>
          <w:szCs w:val="32"/>
          <w:highlight w:val="none"/>
        </w:rPr>
      </w:pPr>
    </w:p>
    <w:p w14:paraId="7C9C7455">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bookmarkStart w:id="73" w:name="_Toc16686_WPSOffice_Level1"/>
      <w:bookmarkStart w:id="74" w:name="_Toc28629_WPSOffice_Level1"/>
      <w:bookmarkStart w:id="75" w:name="_Toc29683_WPSOffice_Level1"/>
      <w:bookmarkStart w:id="76" w:name="_Toc27590_WPSOffice_Level1"/>
      <w:bookmarkStart w:id="77" w:name="_Toc31264_WPSOffice_Level1"/>
      <w:bookmarkStart w:id="78" w:name="_Toc4402_WPSOffice_Level1"/>
      <w:r>
        <w:rPr>
          <w:rFonts w:hint="eastAsia" w:ascii="黑体" w:hAnsi="ˎ̥" w:eastAsia="黑体"/>
          <w:color w:val="000000"/>
          <w:sz w:val="32"/>
          <w:szCs w:val="32"/>
          <w:highlight w:val="none"/>
        </w:rPr>
        <w:t>第三部分  202</w:t>
      </w:r>
      <w:r>
        <w:rPr>
          <w:rFonts w:hint="eastAsia" w:ascii="黑体" w:hAnsi="ˎ̥" w:eastAsia="黑体"/>
          <w:color w:val="000000"/>
          <w:sz w:val="32"/>
          <w:szCs w:val="32"/>
          <w:highlight w:val="none"/>
          <w:lang w:val="en-US" w:eastAsia="zh-CN"/>
        </w:rPr>
        <w:t>3</w:t>
      </w:r>
      <w:r>
        <w:rPr>
          <w:rFonts w:hint="eastAsia" w:ascii="黑体" w:hAnsi="ˎ̥" w:eastAsia="黑体"/>
          <w:color w:val="000000"/>
          <w:sz w:val="32"/>
          <w:szCs w:val="32"/>
          <w:highlight w:val="none"/>
        </w:rPr>
        <w:t>年度部门决算情况说明</w:t>
      </w:r>
      <w:bookmarkEnd w:id="73"/>
      <w:bookmarkEnd w:id="74"/>
      <w:bookmarkEnd w:id="75"/>
      <w:bookmarkEnd w:id="76"/>
      <w:bookmarkEnd w:id="77"/>
      <w:bookmarkEnd w:id="78"/>
    </w:p>
    <w:p w14:paraId="3CF52AFF">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p>
    <w:p w14:paraId="5A909E8E">
      <w:pPr>
        <w:ind w:firstLine="709"/>
        <w:rPr>
          <w:rFonts w:hint="eastAsia" w:ascii="仿宋_GB2312" w:hAnsi="ˎ̥" w:eastAsia="仿宋_GB2312"/>
          <w:color w:val="000000"/>
          <w:sz w:val="32"/>
          <w:szCs w:val="32"/>
          <w:highlight w:val="none"/>
        </w:rPr>
      </w:pPr>
      <w:r>
        <w:rPr>
          <w:rFonts w:hint="eastAsia" w:ascii="黑体" w:hAnsi="黑体" w:eastAsia="黑体" w:cs="黑体"/>
          <w:bCs/>
          <w:color w:val="000000"/>
          <w:sz w:val="32"/>
          <w:szCs w:val="32"/>
          <w:highlight w:val="none"/>
        </w:rPr>
        <w:t>一、收入支出总体情况说明</w:t>
      </w:r>
      <w:r>
        <w:rPr>
          <w:rFonts w:hint="eastAsia" w:ascii="黑体" w:hAnsi="黑体" w:eastAsia="黑体" w:cs="黑体"/>
          <w:bCs/>
          <w:color w:val="000000"/>
          <w:sz w:val="32"/>
          <w:szCs w:val="32"/>
          <w:highlight w:val="none"/>
        </w:rPr>
        <w:br w:type="textWrapping"/>
      </w:r>
      <w:r>
        <w:rPr>
          <w:rFonts w:hint="eastAsia" w:ascii="楷体_GB2312" w:hAnsi="ˎ̥" w:eastAsia="楷体_GB2312"/>
          <w:color w:val="000000"/>
          <w:sz w:val="32"/>
          <w:szCs w:val="32"/>
          <w:highlight w:val="none"/>
        </w:rPr>
        <w:t xml:space="preserve">    </w:t>
      </w: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年度收入总计</w:t>
      </w:r>
      <w:r>
        <w:rPr>
          <w:rFonts w:hint="eastAsia" w:ascii="仿宋_GB2312" w:hAnsi="ˎ̥" w:eastAsia="仿宋_GB2312"/>
          <w:color w:val="000000"/>
          <w:sz w:val="32"/>
          <w:szCs w:val="32"/>
          <w:highlight w:val="none"/>
          <w:lang w:val="en-US" w:eastAsia="zh-CN"/>
        </w:rPr>
        <w:t>665.7</w:t>
      </w:r>
      <w:r>
        <w:rPr>
          <w:rFonts w:hint="eastAsia" w:ascii="仿宋_GB2312" w:hAnsi="ˎ̥" w:eastAsia="仿宋_GB2312"/>
          <w:color w:val="000000"/>
          <w:sz w:val="32"/>
          <w:szCs w:val="32"/>
          <w:highlight w:val="none"/>
        </w:rPr>
        <w:t>万元，支出总计</w:t>
      </w:r>
      <w:r>
        <w:rPr>
          <w:rFonts w:hint="eastAsia" w:ascii="仿宋_GB2312" w:hAnsi="ˎ̥" w:eastAsia="仿宋_GB2312"/>
          <w:color w:val="000000"/>
          <w:sz w:val="32"/>
          <w:szCs w:val="32"/>
          <w:highlight w:val="none"/>
          <w:lang w:val="en-US" w:eastAsia="zh-CN"/>
        </w:rPr>
        <w:t>735.88</w:t>
      </w:r>
      <w:r>
        <w:rPr>
          <w:rFonts w:hint="eastAsia" w:ascii="仿宋_GB2312" w:hAnsi="ˎ̥" w:eastAsia="仿宋_GB2312"/>
          <w:color w:val="000000"/>
          <w:sz w:val="32"/>
          <w:szCs w:val="32"/>
          <w:highlight w:val="none"/>
        </w:rPr>
        <w:t>万元，与202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年度相比，收入、支出</w:t>
      </w:r>
      <w:r>
        <w:rPr>
          <w:rFonts w:hint="eastAsia" w:ascii="仿宋_GB2312" w:hAnsi="ˎ̥" w:eastAsia="仿宋_GB2312"/>
          <w:color w:val="000000"/>
          <w:sz w:val="32"/>
          <w:szCs w:val="32"/>
          <w:highlight w:val="none"/>
          <w:lang w:val="en-US" w:eastAsia="zh-CN"/>
        </w:rPr>
        <w:t>各</w:t>
      </w:r>
      <w:r>
        <w:rPr>
          <w:rFonts w:hint="eastAsia" w:ascii="仿宋_GB2312" w:hAnsi="ˎ̥" w:eastAsia="仿宋_GB2312"/>
          <w:color w:val="000000"/>
          <w:sz w:val="32"/>
          <w:szCs w:val="32"/>
          <w:highlight w:val="none"/>
        </w:rPr>
        <w:t>总计增加</w:t>
      </w:r>
      <w:r>
        <w:rPr>
          <w:rFonts w:hint="eastAsia" w:ascii="仿宋_GB2312" w:hAnsi="ˎ̥" w:eastAsia="仿宋_GB2312"/>
          <w:color w:val="000000"/>
          <w:sz w:val="32"/>
          <w:szCs w:val="32"/>
          <w:highlight w:val="none"/>
          <w:lang w:val="en-US" w:eastAsia="zh-CN"/>
        </w:rPr>
        <w:t>119.17</w:t>
      </w:r>
      <w:r>
        <w:rPr>
          <w:rFonts w:hint="eastAsia" w:ascii="仿宋_GB2312" w:hAnsi="ˎ̥" w:eastAsia="仿宋_GB2312"/>
          <w:color w:val="000000"/>
          <w:sz w:val="32"/>
          <w:szCs w:val="32"/>
          <w:highlight w:val="none"/>
        </w:rPr>
        <w:t>万元，增长</w:t>
      </w:r>
      <w:r>
        <w:rPr>
          <w:rFonts w:hint="eastAsia" w:ascii="仿宋_GB2312" w:hAnsi="ˎ̥" w:eastAsia="仿宋_GB2312"/>
          <w:color w:val="000000"/>
          <w:sz w:val="32"/>
          <w:szCs w:val="32"/>
          <w:highlight w:val="none"/>
          <w:lang w:val="en-US" w:eastAsia="zh-CN"/>
        </w:rPr>
        <w:t>16.19</w:t>
      </w:r>
      <w:r>
        <w:rPr>
          <w:rFonts w:hint="eastAsia" w:ascii="仿宋_GB2312" w:hAnsi="ˎ̥" w:eastAsia="仿宋_GB2312"/>
          <w:color w:val="000000"/>
          <w:sz w:val="32"/>
          <w:szCs w:val="32"/>
          <w:highlight w:val="none"/>
        </w:rPr>
        <w:t>%。主要原因：是</w:t>
      </w:r>
      <w:r>
        <w:rPr>
          <w:rFonts w:hint="eastAsia" w:ascii="仿宋_GB2312" w:hAnsi="ˎ̥" w:eastAsia="仿宋_GB2312"/>
          <w:color w:val="000000"/>
          <w:sz w:val="32"/>
          <w:szCs w:val="32"/>
          <w:highlight w:val="none"/>
          <w:lang w:eastAsia="zh-CN"/>
        </w:rPr>
        <w:t>事业机构预算增加</w:t>
      </w:r>
      <w:r>
        <w:rPr>
          <w:rFonts w:hint="eastAsia" w:ascii="仿宋_GB2312" w:hAnsi="仿宋" w:eastAsia="仿宋_GB2312" w:cs="仿宋"/>
          <w:color w:val="000000"/>
          <w:sz w:val="32"/>
          <w:szCs w:val="32"/>
          <w:lang w:val="en-US" w:eastAsia="zh-CN" w:bidi="ar"/>
        </w:rPr>
        <w:t>琼财资环[2023]1281号文，海南省财政厅关于追加2022年基本支出预算的通知调整追加工资调整6.59万元，公务员医疗补助146.8万元，基本支出自动追加36.61万元，</w:t>
      </w:r>
      <w:r>
        <w:rPr>
          <w:rFonts w:hint="eastAsia" w:ascii="仿宋_GB2312" w:hAnsi="ˎ̥" w:eastAsia="仿宋_GB2312"/>
          <w:color w:val="000000"/>
          <w:sz w:val="32"/>
          <w:szCs w:val="32"/>
          <w:highlight w:val="none"/>
        </w:rPr>
        <w:t>增加</w:t>
      </w:r>
      <w:r>
        <w:rPr>
          <w:rFonts w:hint="eastAsia" w:ascii="仿宋_GB2312" w:hAnsi="ˎ̥" w:eastAsia="仿宋_GB2312"/>
          <w:color w:val="000000"/>
          <w:sz w:val="32"/>
          <w:szCs w:val="32"/>
          <w:highlight w:val="none"/>
          <w:lang w:val="en-US" w:eastAsia="zh-CN"/>
        </w:rPr>
        <w:t>190</w:t>
      </w:r>
      <w:r>
        <w:rPr>
          <w:rFonts w:hint="eastAsia" w:ascii="仿宋_GB2312" w:hAnsi="ˎ̥" w:eastAsia="仿宋_GB2312"/>
          <w:color w:val="000000"/>
          <w:sz w:val="32"/>
          <w:szCs w:val="32"/>
          <w:highlight w:val="none"/>
        </w:rPr>
        <w:t>万元</w:t>
      </w:r>
      <w:r>
        <w:rPr>
          <w:rFonts w:hint="eastAsia" w:ascii="仿宋_GB2312" w:hAnsi="ˎ̥" w:eastAsia="仿宋_GB2312"/>
          <w:color w:val="000000"/>
          <w:sz w:val="32"/>
          <w:szCs w:val="32"/>
          <w:highlight w:val="none"/>
          <w:lang w:eastAsia="zh-CN"/>
        </w:rPr>
        <w:t>。</w:t>
      </w:r>
      <w:r>
        <w:rPr>
          <w:rFonts w:hint="eastAsia" w:ascii="仿宋_GB2312" w:hAnsi="ˎ̥" w:eastAsia="仿宋_GB2312"/>
          <w:color w:val="000000"/>
          <w:sz w:val="32"/>
          <w:szCs w:val="32"/>
          <w:highlight w:val="none"/>
          <w:lang w:val="en-US" w:eastAsia="zh-CN"/>
        </w:rPr>
        <w:t>2022年末结转和结余</w:t>
      </w:r>
      <w:r>
        <w:rPr>
          <w:rFonts w:hint="eastAsia" w:ascii="仿宋_GB2312" w:hAnsi="ˎ̥" w:eastAsia="仿宋_GB2312"/>
          <w:color w:val="000000"/>
          <w:sz w:val="32"/>
          <w:szCs w:val="32"/>
          <w:highlight w:val="none"/>
        </w:rPr>
        <w:t>主</w:t>
      </w:r>
      <w:r>
        <w:rPr>
          <w:rFonts w:hint="eastAsia" w:ascii="仿宋_GB2312" w:hAnsi="ˎ̥" w:eastAsia="仿宋_GB2312"/>
          <w:color w:val="000000"/>
          <w:sz w:val="32"/>
          <w:szCs w:val="32"/>
          <w:highlight w:val="none"/>
          <w:lang w:val="en-US" w:eastAsia="zh-CN"/>
        </w:rPr>
        <w:t>31.5万元</w:t>
      </w:r>
      <w:r>
        <w:rPr>
          <w:rFonts w:hint="eastAsia" w:ascii="仿宋_GB2312" w:hAnsi="ˎ̥" w:eastAsia="仿宋_GB2312"/>
          <w:color w:val="000000"/>
          <w:sz w:val="32"/>
          <w:szCs w:val="32"/>
          <w:highlight w:val="none"/>
        </w:rPr>
        <w:t>，较202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年度决算数</w:t>
      </w:r>
      <w:r>
        <w:rPr>
          <w:rFonts w:hint="eastAsia" w:ascii="仿宋_GB2312" w:hAnsi="ˎ̥" w:eastAsia="仿宋_GB2312"/>
          <w:color w:val="000000"/>
          <w:sz w:val="32"/>
          <w:szCs w:val="32"/>
          <w:highlight w:val="none"/>
          <w:lang w:val="en-US" w:eastAsia="zh-CN"/>
        </w:rPr>
        <w:t>增加119.17</w:t>
      </w:r>
      <w:r>
        <w:rPr>
          <w:rFonts w:hint="eastAsia" w:ascii="仿宋_GB2312" w:hAnsi="ˎ̥" w:eastAsia="仿宋_GB2312"/>
          <w:color w:val="000000"/>
          <w:sz w:val="32"/>
          <w:szCs w:val="32"/>
          <w:highlight w:val="none"/>
        </w:rPr>
        <w:t>万元，</w:t>
      </w:r>
      <w:r>
        <w:rPr>
          <w:rFonts w:hint="eastAsia" w:ascii="仿宋_GB2312" w:hAnsi="ˎ̥" w:eastAsia="仿宋_GB2312"/>
          <w:color w:val="000000"/>
          <w:sz w:val="32"/>
          <w:szCs w:val="32"/>
          <w:highlight w:val="none"/>
          <w:lang w:val="en-US" w:eastAsia="zh-CN"/>
        </w:rPr>
        <w:t>上升19.32</w:t>
      </w:r>
      <w:r>
        <w:rPr>
          <w:rFonts w:hint="eastAsia" w:ascii="仿宋_GB2312" w:hAnsi="ˎ̥" w:eastAsia="仿宋_GB2312"/>
          <w:color w:val="000000"/>
          <w:sz w:val="32"/>
          <w:szCs w:val="32"/>
          <w:highlight w:val="none"/>
        </w:rPr>
        <w:t>%，主要原因是</w:t>
      </w:r>
      <w:r>
        <w:rPr>
          <w:rFonts w:hint="eastAsia" w:ascii="仿宋_GB2312" w:hAnsi="ˎ̥" w:eastAsia="仿宋_GB2312"/>
          <w:color w:val="000000"/>
          <w:sz w:val="32"/>
          <w:szCs w:val="32"/>
          <w:highlight w:val="none"/>
          <w:lang w:val="en-US" w:eastAsia="zh-CN"/>
        </w:rPr>
        <w:t>2022年末结转和结余31.5万元</w:t>
      </w:r>
      <w:r>
        <w:rPr>
          <w:rFonts w:hint="eastAsia" w:ascii="仿宋_GB2312" w:hAnsi="ˎ̥" w:eastAsia="仿宋_GB2312"/>
          <w:color w:val="000000"/>
          <w:sz w:val="32"/>
          <w:szCs w:val="32"/>
          <w:highlight w:val="none"/>
          <w:lang w:eastAsia="zh-CN"/>
        </w:rPr>
        <w:t>，</w:t>
      </w:r>
      <w:r>
        <w:rPr>
          <w:rFonts w:hint="eastAsia" w:ascii="仿宋_GB2312" w:hAnsi="仿宋" w:eastAsia="仿宋_GB2312" w:cs="仿宋"/>
          <w:color w:val="000000"/>
          <w:sz w:val="32"/>
          <w:szCs w:val="32"/>
          <w:lang w:val="en-US" w:eastAsia="zh-CN" w:bidi="ar"/>
        </w:rPr>
        <w:t>追加2022年基本支出190万元。</w:t>
      </w:r>
    </w:p>
    <w:p w14:paraId="57D46250">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 xml:space="preserve">   （注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年度相关决算数据可取自附件财决公开01表；202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年度相关决算数据可取自202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年度部门决算报表财决01表《收入支出决算总表》）</w:t>
      </w:r>
    </w:p>
    <w:p w14:paraId="145C4E4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黑体" w:hAnsi="黑体" w:eastAsia="黑体" w:cs="黑体"/>
          <w:bCs/>
          <w:color w:val="000000"/>
          <w:sz w:val="32"/>
          <w:szCs w:val="32"/>
          <w:highlight w:val="none"/>
        </w:rPr>
        <w:t>二、收入决算情况说明</w:t>
      </w:r>
      <w:r>
        <w:rPr>
          <w:rFonts w:hint="eastAsia" w:ascii="黑体" w:hAnsi="黑体" w:eastAsia="黑体" w:cs="黑体"/>
          <w:bCs/>
          <w:color w:val="000000"/>
          <w:sz w:val="32"/>
          <w:szCs w:val="32"/>
          <w:highlight w:val="none"/>
        </w:rPr>
        <w:br w:type="textWrapping"/>
      </w:r>
      <w:r>
        <w:rPr>
          <w:rFonts w:hint="eastAsia" w:ascii="仿宋_GB2312" w:hAnsi="ˎ̥" w:eastAsia="仿宋_GB2312"/>
          <w:color w:val="000000"/>
          <w:sz w:val="32"/>
          <w:szCs w:val="32"/>
          <w:highlight w:val="none"/>
        </w:rPr>
        <w:t xml:space="preserve">    本年收入合计</w:t>
      </w:r>
      <w:r>
        <w:rPr>
          <w:rFonts w:hint="eastAsia" w:ascii="仿宋_GB2312" w:hAnsi="ˎ̥" w:eastAsia="仿宋_GB2312"/>
          <w:color w:val="000000"/>
          <w:sz w:val="32"/>
          <w:szCs w:val="32"/>
          <w:highlight w:val="none"/>
          <w:lang w:val="en-US" w:eastAsia="zh-CN"/>
        </w:rPr>
        <w:t>735.88</w:t>
      </w:r>
      <w:r>
        <w:rPr>
          <w:rFonts w:hint="eastAsia" w:ascii="仿宋_GB2312" w:hAnsi="ˎ̥" w:eastAsia="仿宋_GB2312"/>
          <w:color w:val="000000"/>
          <w:sz w:val="32"/>
          <w:szCs w:val="32"/>
          <w:highlight w:val="none"/>
        </w:rPr>
        <w:t>万元，其中：财政拨款收入</w:t>
      </w:r>
      <w:r>
        <w:rPr>
          <w:rFonts w:hint="eastAsia" w:ascii="仿宋_GB2312" w:hAnsi="ˎ̥" w:eastAsia="仿宋_GB2312"/>
          <w:color w:val="000000"/>
          <w:sz w:val="32"/>
          <w:szCs w:val="32"/>
          <w:highlight w:val="none"/>
          <w:lang w:val="en-US" w:eastAsia="zh-CN"/>
        </w:rPr>
        <w:t>735.88</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100</w:t>
      </w:r>
      <w:r>
        <w:rPr>
          <w:rFonts w:hint="eastAsia" w:ascii="仿宋_GB2312" w:hAnsi="ˎ̥" w:eastAsia="仿宋_GB2312"/>
          <w:color w:val="000000"/>
          <w:sz w:val="32"/>
          <w:szCs w:val="32"/>
          <w:highlight w:val="none"/>
        </w:rPr>
        <w:t>%；上级补助收入</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r>
        <w:rPr>
          <w:rFonts w:hint="eastAsia" w:ascii="仿宋_GB2312" w:hAnsi="ˎ̥" w:eastAsia="仿宋_GB2312"/>
          <w:color w:val="000000"/>
          <w:sz w:val="32"/>
          <w:szCs w:val="32"/>
          <w:highlight w:val="none"/>
          <w:lang w:eastAsia="zh-CN"/>
        </w:rPr>
        <w:t>；</w:t>
      </w:r>
      <w:r>
        <w:rPr>
          <w:rFonts w:hint="eastAsia" w:ascii="仿宋_GB2312" w:hAnsi="ˎ̥" w:eastAsia="仿宋_GB2312"/>
          <w:color w:val="000000"/>
          <w:sz w:val="32"/>
          <w:szCs w:val="32"/>
          <w:highlight w:val="none"/>
        </w:rPr>
        <w:t>事业收入</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r>
        <w:rPr>
          <w:rFonts w:hint="eastAsia" w:ascii="仿宋_GB2312" w:hAnsi="ˎ̥" w:eastAsia="仿宋_GB2312"/>
          <w:color w:val="000000"/>
          <w:sz w:val="32"/>
          <w:szCs w:val="32"/>
          <w:highlight w:val="none"/>
          <w:lang w:eastAsia="zh-CN"/>
        </w:rPr>
        <w:t>；</w:t>
      </w:r>
      <w:r>
        <w:rPr>
          <w:rFonts w:hint="eastAsia" w:ascii="仿宋_GB2312" w:hAnsi="ˎ̥" w:eastAsia="仿宋_GB2312"/>
          <w:color w:val="000000"/>
          <w:sz w:val="32"/>
          <w:szCs w:val="32"/>
          <w:highlight w:val="none"/>
        </w:rPr>
        <w:t>经营收入</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r>
        <w:rPr>
          <w:rFonts w:hint="eastAsia" w:ascii="仿宋_GB2312" w:hAnsi="ˎ̥" w:eastAsia="仿宋_GB2312"/>
          <w:color w:val="000000"/>
          <w:sz w:val="32"/>
          <w:szCs w:val="32"/>
          <w:highlight w:val="none"/>
          <w:lang w:eastAsia="zh-CN"/>
        </w:rPr>
        <w:t>；</w:t>
      </w:r>
      <w:r>
        <w:rPr>
          <w:rFonts w:hint="eastAsia" w:ascii="仿宋_GB2312" w:hAnsi="ˎ̥" w:eastAsia="仿宋_GB2312"/>
          <w:color w:val="000000"/>
          <w:sz w:val="32"/>
          <w:szCs w:val="32"/>
          <w:highlight w:val="none"/>
        </w:rPr>
        <w:t>附属单位上缴收入</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%；其他收入</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14:paraId="6B640DCB">
      <w:pPr>
        <w:keepNext w:val="0"/>
        <w:keepLines w:val="0"/>
        <w:pageBreakBefore w:val="0"/>
        <w:kinsoku/>
        <w:wordWrap/>
        <w:overflowPunct/>
        <w:topLinePunct w:val="0"/>
        <w:autoSpaceDE/>
        <w:autoSpaceDN/>
        <w:bidi w:val="0"/>
        <w:adjustRightInd/>
        <w:snapToGrid/>
        <w:spacing w:line="560" w:lineRule="exact"/>
        <w:ind w:left="412" w:leftChars="196"/>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 xml:space="preserve">  （注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上述各项收入数字可取自财决公开02表）</w:t>
      </w:r>
    </w:p>
    <w:p w14:paraId="53D25831">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三、支出决算情况说明</w:t>
      </w:r>
    </w:p>
    <w:p w14:paraId="03E14A6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本年支出合计</w:t>
      </w:r>
      <w:r>
        <w:rPr>
          <w:rFonts w:hint="eastAsia" w:ascii="仿宋_GB2312" w:hAnsi="ˎ̥" w:eastAsia="仿宋_GB2312"/>
          <w:color w:val="000000"/>
          <w:sz w:val="32"/>
          <w:szCs w:val="32"/>
          <w:highlight w:val="none"/>
          <w:lang w:val="en-US" w:eastAsia="zh-CN"/>
        </w:rPr>
        <w:t>735.88</w:t>
      </w:r>
      <w:r>
        <w:rPr>
          <w:rFonts w:hint="eastAsia" w:ascii="仿宋_GB2312" w:hAnsi="ˎ̥" w:eastAsia="仿宋_GB2312"/>
          <w:color w:val="000000"/>
          <w:sz w:val="32"/>
          <w:szCs w:val="32"/>
          <w:highlight w:val="none"/>
        </w:rPr>
        <w:t>万元，其中：基本支出</w:t>
      </w:r>
      <w:r>
        <w:rPr>
          <w:rFonts w:hint="eastAsia" w:ascii="仿宋_GB2312" w:hAnsi="ˎ̥" w:eastAsia="仿宋_GB2312"/>
          <w:color w:val="000000"/>
          <w:sz w:val="32"/>
          <w:szCs w:val="32"/>
          <w:highlight w:val="none"/>
          <w:lang w:val="en-US" w:eastAsia="zh-CN"/>
        </w:rPr>
        <w:t>624.17</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84.82</w:t>
      </w:r>
      <w:r>
        <w:rPr>
          <w:rFonts w:hint="eastAsia" w:ascii="仿宋_GB2312" w:hAnsi="ˎ̥" w:eastAsia="仿宋_GB2312"/>
          <w:color w:val="000000"/>
          <w:sz w:val="32"/>
          <w:szCs w:val="32"/>
          <w:highlight w:val="none"/>
        </w:rPr>
        <w:t>%；项目支出</w:t>
      </w:r>
      <w:r>
        <w:rPr>
          <w:rFonts w:hint="eastAsia" w:ascii="仿宋_GB2312" w:hAnsi="ˎ̥" w:eastAsia="仿宋_GB2312"/>
          <w:color w:val="000000"/>
          <w:sz w:val="32"/>
          <w:szCs w:val="32"/>
          <w:highlight w:val="none"/>
          <w:lang w:val="en-US" w:eastAsia="zh-CN"/>
        </w:rPr>
        <w:t>111.71</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15.18</w:t>
      </w:r>
      <w:r>
        <w:rPr>
          <w:rFonts w:hint="eastAsia" w:ascii="仿宋_GB2312" w:hAnsi="ˎ̥" w:eastAsia="仿宋_GB2312"/>
          <w:color w:val="000000"/>
          <w:sz w:val="32"/>
          <w:szCs w:val="32"/>
          <w:highlight w:val="none"/>
        </w:rPr>
        <w:t>%；上缴上级支出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%；经营支出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%；对附属单位补助支出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14:paraId="11A7713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上述各项支出数字可取自财决公开03表）</w:t>
      </w:r>
    </w:p>
    <w:p w14:paraId="2B7F1CBE">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四、财政拨款收入支出决算总体情况说明</w:t>
      </w:r>
    </w:p>
    <w:p w14:paraId="2656D09F">
      <w:pPr>
        <w:ind w:firstLine="709"/>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年度财政拨款收入</w:t>
      </w:r>
      <w:r>
        <w:rPr>
          <w:rFonts w:hint="eastAsia" w:ascii="仿宋_GB2312" w:hAnsi="ˎ̥" w:eastAsia="仿宋_GB2312"/>
          <w:color w:val="000000"/>
          <w:sz w:val="32"/>
          <w:szCs w:val="32"/>
          <w:highlight w:val="none"/>
          <w:lang w:val="en-US" w:eastAsia="zh-CN"/>
        </w:rPr>
        <w:t>665.7</w:t>
      </w:r>
      <w:r>
        <w:rPr>
          <w:rFonts w:hint="eastAsia" w:ascii="仿宋_GB2312" w:hAnsi="ˎ̥" w:eastAsia="仿宋_GB2312"/>
          <w:color w:val="000000"/>
          <w:sz w:val="32"/>
          <w:szCs w:val="32"/>
          <w:highlight w:val="none"/>
        </w:rPr>
        <w:t>万元，支出</w:t>
      </w:r>
      <w:r>
        <w:rPr>
          <w:rFonts w:hint="eastAsia" w:ascii="仿宋_GB2312" w:hAnsi="ˎ̥" w:eastAsia="仿宋_GB2312"/>
          <w:color w:val="000000"/>
          <w:sz w:val="32"/>
          <w:szCs w:val="32"/>
          <w:highlight w:val="none"/>
          <w:lang w:val="en-US" w:eastAsia="zh-CN"/>
        </w:rPr>
        <w:t>735.88</w:t>
      </w:r>
      <w:r>
        <w:rPr>
          <w:rFonts w:hint="eastAsia" w:ascii="仿宋_GB2312" w:hAnsi="ˎ̥" w:eastAsia="仿宋_GB2312"/>
          <w:color w:val="000000"/>
          <w:sz w:val="32"/>
          <w:szCs w:val="32"/>
          <w:highlight w:val="none"/>
        </w:rPr>
        <w:t>万元。与202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年度相比，财政拨款收入、支出各增加</w:t>
      </w:r>
      <w:r>
        <w:rPr>
          <w:rFonts w:hint="eastAsia" w:ascii="仿宋_GB2312" w:hAnsi="ˎ̥" w:eastAsia="仿宋_GB2312"/>
          <w:color w:val="000000"/>
          <w:sz w:val="32"/>
          <w:szCs w:val="32"/>
          <w:highlight w:val="none"/>
          <w:lang w:val="en-US" w:eastAsia="zh-CN"/>
        </w:rPr>
        <w:t>119.17</w:t>
      </w:r>
      <w:r>
        <w:rPr>
          <w:rFonts w:hint="eastAsia" w:ascii="仿宋_GB2312" w:hAnsi="ˎ̥" w:eastAsia="仿宋_GB2312"/>
          <w:color w:val="000000"/>
          <w:sz w:val="32"/>
          <w:szCs w:val="32"/>
          <w:highlight w:val="none"/>
        </w:rPr>
        <w:t>万元，增长</w:t>
      </w:r>
      <w:r>
        <w:rPr>
          <w:rFonts w:hint="eastAsia" w:ascii="仿宋_GB2312" w:hAnsi="ˎ̥" w:eastAsia="仿宋_GB2312"/>
          <w:color w:val="000000"/>
          <w:sz w:val="32"/>
          <w:szCs w:val="32"/>
          <w:highlight w:val="none"/>
          <w:lang w:val="en-US" w:eastAsia="zh-CN"/>
        </w:rPr>
        <w:t>16.19</w:t>
      </w:r>
      <w:r>
        <w:rPr>
          <w:rFonts w:hint="eastAsia" w:ascii="仿宋_GB2312" w:hAnsi="ˎ̥" w:eastAsia="仿宋_GB2312"/>
          <w:color w:val="000000"/>
          <w:sz w:val="32"/>
          <w:szCs w:val="32"/>
          <w:highlight w:val="none"/>
        </w:rPr>
        <w:t>%。主要原因：是</w:t>
      </w:r>
      <w:r>
        <w:rPr>
          <w:rFonts w:hint="eastAsia" w:ascii="仿宋_GB2312" w:hAnsi="ˎ̥" w:eastAsia="仿宋_GB2312"/>
          <w:color w:val="000000"/>
          <w:sz w:val="32"/>
          <w:szCs w:val="32"/>
          <w:highlight w:val="none"/>
          <w:lang w:eastAsia="zh-CN"/>
        </w:rPr>
        <w:t>事业机构预算增加</w:t>
      </w:r>
      <w:r>
        <w:rPr>
          <w:rFonts w:hint="eastAsia" w:ascii="仿宋_GB2312" w:hAnsi="仿宋" w:eastAsia="仿宋_GB2312" w:cs="仿宋"/>
          <w:color w:val="000000"/>
          <w:sz w:val="32"/>
          <w:szCs w:val="32"/>
          <w:lang w:val="en-US" w:eastAsia="zh-CN" w:bidi="ar"/>
        </w:rPr>
        <w:t>琼财资环[2023]1281号文，海南省财政厅关于追加2022年基本支出预算的通知调整追加工资调整6.59万元，公务员医疗补助146.8万元，基本支出自动追加36.61万元，</w:t>
      </w:r>
      <w:r>
        <w:rPr>
          <w:rFonts w:hint="eastAsia" w:ascii="仿宋_GB2312" w:hAnsi="ˎ̥" w:eastAsia="仿宋_GB2312"/>
          <w:color w:val="000000"/>
          <w:sz w:val="32"/>
          <w:szCs w:val="32"/>
          <w:highlight w:val="none"/>
        </w:rPr>
        <w:t>增加</w:t>
      </w:r>
      <w:r>
        <w:rPr>
          <w:rFonts w:hint="eastAsia" w:ascii="仿宋_GB2312" w:hAnsi="ˎ̥" w:eastAsia="仿宋_GB2312"/>
          <w:color w:val="000000"/>
          <w:sz w:val="32"/>
          <w:szCs w:val="32"/>
          <w:highlight w:val="none"/>
          <w:lang w:val="en-US" w:eastAsia="zh-CN"/>
        </w:rPr>
        <w:t>190</w:t>
      </w:r>
      <w:r>
        <w:rPr>
          <w:rFonts w:hint="eastAsia" w:ascii="仿宋_GB2312" w:hAnsi="ˎ̥" w:eastAsia="仿宋_GB2312"/>
          <w:color w:val="000000"/>
          <w:sz w:val="32"/>
          <w:szCs w:val="32"/>
          <w:highlight w:val="none"/>
        </w:rPr>
        <w:t>万元</w:t>
      </w:r>
      <w:r>
        <w:rPr>
          <w:rFonts w:hint="eastAsia" w:ascii="仿宋_GB2312" w:hAnsi="ˎ̥" w:eastAsia="仿宋_GB2312"/>
          <w:color w:val="000000"/>
          <w:sz w:val="32"/>
          <w:szCs w:val="32"/>
          <w:highlight w:val="none"/>
          <w:lang w:eastAsia="zh-CN"/>
        </w:rPr>
        <w:t>。</w:t>
      </w:r>
      <w:r>
        <w:rPr>
          <w:rFonts w:hint="eastAsia" w:ascii="仿宋_GB2312" w:hAnsi="ˎ̥" w:eastAsia="仿宋_GB2312"/>
          <w:color w:val="000000"/>
          <w:sz w:val="32"/>
          <w:szCs w:val="32"/>
          <w:highlight w:val="none"/>
          <w:lang w:val="en-US" w:eastAsia="zh-CN"/>
        </w:rPr>
        <w:t>2022年末结转和结余</w:t>
      </w:r>
      <w:r>
        <w:rPr>
          <w:rFonts w:hint="eastAsia" w:ascii="仿宋_GB2312" w:hAnsi="ˎ̥" w:eastAsia="仿宋_GB2312"/>
          <w:color w:val="000000"/>
          <w:sz w:val="32"/>
          <w:szCs w:val="32"/>
          <w:highlight w:val="none"/>
        </w:rPr>
        <w:t>主</w:t>
      </w:r>
      <w:r>
        <w:rPr>
          <w:rFonts w:hint="eastAsia" w:ascii="仿宋_GB2312" w:hAnsi="ˎ̥" w:eastAsia="仿宋_GB2312"/>
          <w:color w:val="000000"/>
          <w:sz w:val="32"/>
          <w:szCs w:val="32"/>
          <w:highlight w:val="none"/>
          <w:lang w:val="en-US" w:eastAsia="zh-CN"/>
        </w:rPr>
        <w:t>31.5万元</w:t>
      </w:r>
      <w:r>
        <w:rPr>
          <w:rFonts w:hint="eastAsia" w:ascii="仿宋_GB2312" w:hAnsi="ˎ̥" w:eastAsia="仿宋_GB2312"/>
          <w:color w:val="000000"/>
          <w:sz w:val="32"/>
          <w:szCs w:val="32"/>
          <w:highlight w:val="none"/>
        </w:rPr>
        <w:t>，较202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年度决算数</w:t>
      </w:r>
      <w:r>
        <w:rPr>
          <w:rFonts w:hint="eastAsia" w:ascii="仿宋_GB2312" w:hAnsi="ˎ̥" w:eastAsia="仿宋_GB2312"/>
          <w:color w:val="000000"/>
          <w:sz w:val="32"/>
          <w:szCs w:val="32"/>
          <w:highlight w:val="none"/>
          <w:lang w:val="en-US" w:eastAsia="zh-CN"/>
        </w:rPr>
        <w:t>增加119.17</w:t>
      </w:r>
      <w:r>
        <w:rPr>
          <w:rFonts w:hint="eastAsia" w:ascii="仿宋_GB2312" w:hAnsi="ˎ̥" w:eastAsia="仿宋_GB2312"/>
          <w:color w:val="000000"/>
          <w:sz w:val="32"/>
          <w:szCs w:val="32"/>
          <w:highlight w:val="none"/>
        </w:rPr>
        <w:t>万元，</w:t>
      </w:r>
      <w:r>
        <w:rPr>
          <w:rFonts w:hint="eastAsia" w:ascii="仿宋_GB2312" w:hAnsi="ˎ̥" w:eastAsia="仿宋_GB2312"/>
          <w:color w:val="000000"/>
          <w:sz w:val="32"/>
          <w:szCs w:val="32"/>
          <w:highlight w:val="none"/>
          <w:lang w:val="en-US" w:eastAsia="zh-CN"/>
        </w:rPr>
        <w:t>上升19.32</w:t>
      </w:r>
      <w:r>
        <w:rPr>
          <w:rFonts w:hint="eastAsia" w:ascii="仿宋_GB2312" w:hAnsi="ˎ̥" w:eastAsia="仿宋_GB2312"/>
          <w:color w:val="000000"/>
          <w:sz w:val="32"/>
          <w:szCs w:val="32"/>
          <w:highlight w:val="none"/>
        </w:rPr>
        <w:t>%，主要原因是</w:t>
      </w:r>
      <w:r>
        <w:rPr>
          <w:rFonts w:hint="eastAsia" w:ascii="仿宋_GB2312" w:hAnsi="ˎ̥" w:eastAsia="仿宋_GB2312"/>
          <w:color w:val="000000"/>
          <w:sz w:val="32"/>
          <w:szCs w:val="32"/>
          <w:highlight w:val="none"/>
          <w:lang w:val="en-US" w:eastAsia="zh-CN"/>
        </w:rPr>
        <w:t>2022年末结转和结余31.5万元</w:t>
      </w:r>
      <w:r>
        <w:rPr>
          <w:rFonts w:hint="eastAsia" w:ascii="仿宋_GB2312" w:hAnsi="ˎ̥" w:eastAsia="仿宋_GB2312"/>
          <w:color w:val="000000"/>
          <w:sz w:val="32"/>
          <w:szCs w:val="32"/>
          <w:highlight w:val="none"/>
          <w:lang w:eastAsia="zh-CN"/>
        </w:rPr>
        <w:t>，</w:t>
      </w:r>
      <w:r>
        <w:rPr>
          <w:rFonts w:hint="eastAsia" w:ascii="仿宋_GB2312" w:hAnsi="仿宋" w:eastAsia="仿宋_GB2312" w:cs="仿宋"/>
          <w:color w:val="000000"/>
          <w:sz w:val="32"/>
          <w:szCs w:val="32"/>
          <w:lang w:val="en-US" w:eastAsia="zh-CN" w:bidi="ar"/>
        </w:rPr>
        <w:t>追加2022年基本支出190万元。</w:t>
      </w:r>
    </w:p>
    <w:p w14:paraId="3B3EDBE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p>
    <w:p w14:paraId="0C87FBE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年度决算相关数据可取自财决公开04表。202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年度决算相关数据可取自202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年度部门决算报表财决01-1表《财政拨款收入支出决算总表》）</w:t>
      </w:r>
    </w:p>
    <w:p w14:paraId="200A2A78">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五、一般公共预算财政拨款支出决算情况说明</w:t>
      </w:r>
    </w:p>
    <w:p w14:paraId="46D0970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bookmarkStart w:id="79" w:name="_Toc13694_WPSOffice_Level2"/>
      <w:bookmarkStart w:id="80" w:name="_Toc17398_WPSOffice_Level2"/>
      <w:bookmarkStart w:id="81" w:name="_Toc21737_WPSOffice_Level2"/>
      <w:bookmarkStart w:id="82" w:name="_Toc9989_WPSOffice_Level2"/>
      <w:bookmarkStart w:id="83" w:name="_Toc23005_WPSOffice_Level2"/>
      <w:bookmarkStart w:id="84" w:name="_Toc19665_WPSOffice_Level2"/>
      <w:r>
        <w:rPr>
          <w:rFonts w:hint="eastAsia" w:ascii="楷体" w:hAnsi="楷体" w:eastAsia="楷体" w:cs="楷体"/>
          <w:color w:val="000000"/>
          <w:sz w:val="32"/>
          <w:szCs w:val="32"/>
          <w:highlight w:val="none"/>
        </w:rPr>
        <w:t>（一）一般公共预算财政拨款支出决算总体情况</w:t>
      </w:r>
      <w:bookmarkEnd w:id="79"/>
      <w:bookmarkEnd w:id="80"/>
      <w:r>
        <w:rPr>
          <w:rFonts w:hint="eastAsia" w:ascii="楷体" w:hAnsi="楷体" w:eastAsia="楷体" w:cs="楷体"/>
          <w:color w:val="000000"/>
          <w:sz w:val="32"/>
          <w:szCs w:val="32"/>
          <w:highlight w:val="none"/>
        </w:rPr>
        <w:t>。</w:t>
      </w:r>
      <w:bookmarkEnd w:id="81"/>
      <w:bookmarkEnd w:id="82"/>
      <w:bookmarkEnd w:id="83"/>
      <w:bookmarkEnd w:id="84"/>
    </w:p>
    <w:p w14:paraId="05741EA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年度一般公共预算财政拨款支出</w:t>
      </w:r>
      <w:r>
        <w:rPr>
          <w:rFonts w:hint="eastAsia" w:ascii="仿宋_GB2312" w:hAnsi="ˎ̥" w:eastAsia="仿宋_GB2312"/>
          <w:color w:val="000000"/>
          <w:sz w:val="32"/>
          <w:szCs w:val="32"/>
          <w:highlight w:val="none"/>
          <w:lang w:val="en-US" w:eastAsia="zh-CN"/>
        </w:rPr>
        <w:t>735.88</w:t>
      </w:r>
      <w:r>
        <w:rPr>
          <w:rFonts w:hint="eastAsia" w:ascii="仿宋_GB2312" w:hAnsi="ˎ̥" w:eastAsia="仿宋_GB2312"/>
          <w:color w:val="000000"/>
          <w:sz w:val="32"/>
          <w:szCs w:val="32"/>
          <w:highlight w:val="none"/>
        </w:rPr>
        <w:t>万元，占本年支出合计的</w:t>
      </w:r>
      <w:r>
        <w:rPr>
          <w:rFonts w:hint="eastAsia" w:ascii="仿宋_GB2312" w:hAnsi="ˎ̥" w:eastAsia="仿宋_GB2312"/>
          <w:color w:val="000000"/>
          <w:sz w:val="32"/>
          <w:szCs w:val="32"/>
          <w:highlight w:val="none"/>
          <w:lang w:val="en-US" w:eastAsia="zh-CN"/>
        </w:rPr>
        <w:t>100</w:t>
      </w:r>
      <w:r>
        <w:rPr>
          <w:rFonts w:hint="eastAsia" w:ascii="仿宋_GB2312" w:hAnsi="ˎ̥" w:eastAsia="仿宋_GB2312"/>
          <w:color w:val="000000"/>
          <w:sz w:val="32"/>
          <w:szCs w:val="32"/>
          <w:highlight w:val="none"/>
        </w:rPr>
        <w:t>%。与202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年度相比，一般公共预算财政拨款支出增加</w:t>
      </w:r>
      <w:r>
        <w:rPr>
          <w:rFonts w:hint="eastAsia" w:ascii="仿宋_GB2312" w:hAnsi="ˎ̥" w:eastAsia="仿宋_GB2312"/>
          <w:color w:val="000000"/>
          <w:sz w:val="32"/>
          <w:szCs w:val="32"/>
          <w:highlight w:val="none"/>
          <w:lang w:val="en-US" w:eastAsia="zh-CN"/>
        </w:rPr>
        <w:t>119.17</w:t>
      </w:r>
      <w:r>
        <w:rPr>
          <w:rFonts w:hint="eastAsia" w:ascii="仿宋_GB2312" w:hAnsi="ˎ̥" w:eastAsia="仿宋_GB2312"/>
          <w:color w:val="000000"/>
          <w:sz w:val="32"/>
          <w:szCs w:val="32"/>
          <w:highlight w:val="none"/>
        </w:rPr>
        <w:t>万元，增长</w:t>
      </w:r>
      <w:r>
        <w:rPr>
          <w:rFonts w:hint="eastAsia" w:ascii="仿宋_GB2312" w:hAnsi="ˎ̥" w:eastAsia="仿宋_GB2312"/>
          <w:color w:val="000000"/>
          <w:sz w:val="32"/>
          <w:szCs w:val="32"/>
          <w:highlight w:val="none"/>
          <w:lang w:val="en-US" w:eastAsia="zh-CN"/>
        </w:rPr>
        <w:t>19.32</w:t>
      </w:r>
      <w:r>
        <w:rPr>
          <w:rFonts w:hint="eastAsia" w:ascii="仿宋_GB2312" w:hAnsi="ˎ̥" w:eastAsia="仿宋_GB2312"/>
          <w:color w:val="000000"/>
          <w:sz w:val="32"/>
          <w:szCs w:val="32"/>
          <w:highlight w:val="none"/>
        </w:rPr>
        <w:t>%，主要原因是</w:t>
      </w:r>
      <w:r>
        <w:rPr>
          <w:rFonts w:hint="eastAsia" w:ascii="仿宋_GB2312" w:hAnsi="ˎ̥" w:eastAsia="仿宋_GB2312"/>
          <w:color w:val="000000"/>
          <w:sz w:val="32"/>
          <w:szCs w:val="32"/>
          <w:highlight w:val="none"/>
          <w:lang w:val="en-US" w:eastAsia="zh-CN"/>
        </w:rPr>
        <w:t>2023年</w:t>
      </w:r>
      <w:r>
        <w:rPr>
          <w:rFonts w:hint="eastAsia" w:ascii="楷体" w:hAnsi="楷体" w:eastAsia="楷体" w:cs="楷体"/>
          <w:color w:val="000000"/>
          <w:sz w:val="32"/>
          <w:szCs w:val="32"/>
          <w:highlight w:val="none"/>
        </w:rPr>
        <w:t>一般公共预算财政拨款</w:t>
      </w:r>
      <w:r>
        <w:rPr>
          <w:rFonts w:hint="eastAsia" w:ascii="楷体" w:hAnsi="楷体" w:eastAsia="楷体" w:cs="楷体"/>
          <w:color w:val="000000"/>
          <w:sz w:val="32"/>
          <w:szCs w:val="32"/>
          <w:highlight w:val="none"/>
          <w:lang w:eastAsia="zh-CN"/>
        </w:rPr>
        <w:t>增加</w:t>
      </w:r>
      <w:r>
        <w:rPr>
          <w:rFonts w:hint="eastAsia" w:ascii="仿宋_GB2312" w:hAnsi="ˎ̥" w:eastAsia="仿宋_GB2312"/>
          <w:color w:val="000000"/>
          <w:sz w:val="32"/>
          <w:szCs w:val="32"/>
          <w:highlight w:val="none"/>
        </w:rPr>
        <w:t>。</w:t>
      </w:r>
    </w:p>
    <w:p w14:paraId="73DEF27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bookmarkStart w:id="85" w:name="_Toc18793_WPSOffice_Level2"/>
      <w:bookmarkStart w:id="86" w:name="_Toc2711_WPSOffice_Level2"/>
      <w:bookmarkStart w:id="87" w:name="_Toc23864_WPSOffice_Level2"/>
      <w:bookmarkStart w:id="88" w:name="_Toc27767_WPSOffice_Level2"/>
      <w:bookmarkStart w:id="89" w:name="_Toc19535_WPSOffice_Level2"/>
      <w:bookmarkStart w:id="90" w:name="_Toc19075_WPSOffice_Level2"/>
      <w:r>
        <w:rPr>
          <w:rFonts w:hint="eastAsia" w:ascii="楷体" w:hAnsi="楷体" w:eastAsia="楷体" w:cs="楷体"/>
          <w:color w:val="000000"/>
          <w:sz w:val="32"/>
          <w:szCs w:val="32"/>
          <w:highlight w:val="none"/>
        </w:rPr>
        <w:t>（二）一般公共预算财政拨款支出决算结构情况</w:t>
      </w:r>
      <w:bookmarkEnd w:id="85"/>
      <w:bookmarkEnd w:id="86"/>
      <w:r>
        <w:rPr>
          <w:rFonts w:hint="eastAsia" w:ascii="楷体" w:hAnsi="楷体" w:eastAsia="楷体" w:cs="楷体"/>
          <w:color w:val="000000"/>
          <w:sz w:val="32"/>
          <w:szCs w:val="32"/>
          <w:highlight w:val="none"/>
        </w:rPr>
        <w:t>。</w:t>
      </w:r>
      <w:bookmarkEnd w:id="87"/>
      <w:bookmarkEnd w:id="88"/>
      <w:bookmarkEnd w:id="89"/>
      <w:bookmarkEnd w:id="90"/>
    </w:p>
    <w:p w14:paraId="61C7277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年度一般公共预算财政拨款支出</w:t>
      </w:r>
      <w:r>
        <w:rPr>
          <w:rFonts w:hint="eastAsia" w:ascii="仿宋_GB2312" w:hAnsi="ˎ̥" w:eastAsia="仿宋_GB2312"/>
          <w:color w:val="000000"/>
          <w:sz w:val="32"/>
          <w:szCs w:val="32"/>
          <w:highlight w:val="none"/>
          <w:lang w:val="en-US" w:eastAsia="zh-CN"/>
        </w:rPr>
        <w:t>735.88</w:t>
      </w:r>
      <w:r>
        <w:rPr>
          <w:rFonts w:hint="eastAsia" w:ascii="仿宋_GB2312" w:hAnsi="ˎ̥" w:eastAsia="仿宋_GB2312"/>
          <w:color w:val="000000"/>
          <w:sz w:val="32"/>
          <w:szCs w:val="32"/>
          <w:highlight w:val="none"/>
        </w:rPr>
        <w:t>万元，主要用于以下方面：</w:t>
      </w:r>
      <w:r>
        <w:rPr>
          <w:rFonts w:hint="eastAsia" w:ascii="仿宋_GB2312" w:hAnsi="ˎ̥" w:eastAsia="仿宋_GB2312"/>
          <w:b/>
          <w:color w:val="000000"/>
          <w:sz w:val="32"/>
          <w:szCs w:val="32"/>
          <w:highlight w:val="none"/>
        </w:rPr>
        <w:t>一般公共服务（类）</w:t>
      </w:r>
      <w:r>
        <w:rPr>
          <w:rFonts w:hint="eastAsia" w:ascii="仿宋_GB2312" w:hAnsi="ˎ̥" w:eastAsia="仿宋_GB2312"/>
          <w:color w:val="000000"/>
          <w:sz w:val="32"/>
          <w:szCs w:val="32"/>
          <w:highlight w:val="none"/>
        </w:rPr>
        <w:t>支出</w:t>
      </w:r>
      <w:r>
        <w:rPr>
          <w:rFonts w:hint="eastAsia" w:ascii="仿宋_GB2312" w:hAnsi="ˎ̥" w:eastAsia="仿宋_GB2312"/>
          <w:color w:val="000000"/>
          <w:sz w:val="32"/>
          <w:szCs w:val="32"/>
          <w:highlight w:val="none"/>
          <w:lang w:val="en-US" w:eastAsia="zh-CN"/>
        </w:rPr>
        <w:t>14.73</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w:t>
      </w:r>
      <w:r>
        <w:rPr>
          <w:rFonts w:hint="eastAsia" w:ascii="仿宋_GB2312" w:hAnsi="ˎ̥" w:eastAsia="仿宋_GB2312"/>
          <w:b/>
          <w:color w:val="000000"/>
          <w:sz w:val="32"/>
          <w:szCs w:val="32"/>
          <w:highlight w:val="none"/>
        </w:rPr>
        <w:t>社会保障和就业（类）</w:t>
      </w:r>
      <w:r>
        <w:rPr>
          <w:rFonts w:hint="eastAsia" w:ascii="仿宋_GB2312" w:hAnsi="ˎ̥" w:eastAsia="仿宋_GB2312"/>
          <w:color w:val="000000"/>
          <w:sz w:val="32"/>
          <w:szCs w:val="32"/>
          <w:highlight w:val="none"/>
        </w:rPr>
        <w:t>支出</w:t>
      </w:r>
      <w:r>
        <w:rPr>
          <w:rFonts w:hint="eastAsia" w:ascii="仿宋_GB2312" w:hAnsi="ˎ̥" w:eastAsia="仿宋_GB2312"/>
          <w:color w:val="000000"/>
          <w:sz w:val="32"/>
          <w:szCs w:val="32"/>
          <w:highlight w:val="none"/>
          <w:lang w:val="en-US" w:eastAsia="zh-CN"/>
        </w:rPr>
        <w:t>95.86</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13</w:t>
      </w:r>
      <w:r>
        <w:rPr>
          <w:rFonts w:hint="eastAsia" w:ascii="仿宋_GB2312" w:hAnsi="ˎ̥" w:eastAsia="仿宋_GB2312"/>
          <w:color w:val="000000"/>
          <w:sz w:val="32"/>
          <w:szCs w:val="32"/>
          <w:highlight w:val="none"/>
        </w:rPr>
        <w:t>%；</w:t>
      </w:r>
      <w:r>
        <w:rPr>
          <w:rFonts w:hint="eastAsia" w:ascii="仿宋_GB2312" w:hAnsi="ˎ̥" w:eastAsia="仿宋_GB2312"/>
          <w:b/>
          <w:bCs/>
          <w:color w:val="000000"/>
          <w:sz w:val="32"/>
          <w:szCs w:val="32"/>
          <w:highlight w:val="none"/>
        </w:rPr>
        <w:t>住房保障（类）</w:t>
      </w:r>
      <w:r>
        <w:rPr>
          <w:rFonts w:hint="eastAsia" w:ascii="仿宋_GB2312" w:hAnsi="ˎ̥" w:eastAsia="仿宋_GB2312"/>
          <w:color w:val="000000"/>
          <w:sz w:val="32"/>
          <w:szCs w:val="32"/>
          <w:highlight w:val="none"/>
        </w:rPr>
        <w:t>支出</w:t>
      </w:r>
      <w:r>
        <w:rPr>
          <w:rFonts w:hint="eastAsia" w:ascii="仿宋_GB2312" w:hAnsi="ˎ̥" w:eastAsia="仿宋_GB2312"/>
          <w:color w:val="000000"/>
          <w:sz w:val="32"/>
          <w:szCs w:val="32"/>
          <w:highlight w:val="none"/>
          <w:lang w:val="en-US" w:eastAsia="zh-CN"/>
        </w:rPr>
        <w:t>31.69</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4.36</w:t>
      </w:r>
      <w:r>
        <w:rPr>
          <w:rFonts w:hint="eastAsia" w:ascii="仿宋_GB2312" w:hAnsi="ˎ̥" w:eastAsia="仿宋_GB2312"/>
          <w:color w:val="000000"/>
          <w:sz w:val="32"/>
          <w:szCs w:val="32"/>
          <w:highlight w:val="none"/>
        </w:rPr>
        <w:t>%；卫生健康支出</w:t>
      </w:r>
      <w:r>
        <w:rPr>
          <w:rFonts w:hint="eastAsia" w:ascii="仿宋_GB2312" w:hAnsi="ˎ̥" w:eastAsia="仿宋_GB2312"/>
          <w:color w:val="000000"/>
          <w:sz w:val="32"/>
          <w:szCs w:val="32"/>
          <w:highlight w:val="none"/>
          <w:lang w:val="en-US" w:eastAsia="zh-CN"/>
        </w:rPr>
        <w:t>183.72万元，</w:t>
      </w:r>
      <w:r>
        <w:rPr>
          <w:rFonts w:hint="eastAsia" w:ascii="仿宋_GB2312" w:hAnsi="ˎ̥" w:eastAsia="仿宋_GB2312"/>
          <w:color w:val="000000"/>
          <w:sz w:val="32"/>
          <w:szCs w:val="32"/>
          <w:highlight w:val="none"/>
        </w:rPr>
        <w:t>占</w:t>
      </w:r>
      <w:r>
        <w:rPr>
          <w:rFonts w:hint="eastAsia" w:ascii="仿宋_GB2312" w:hAnsi="ˎ̥" w:eastAsia="仿宋_GB2312"/>
          <w:color w:val="000000"/>
          <w:sz w:val="32"/>
          <w:szCs w:val="32"/>
          <w:highlight w:val="none"/>
          <w:lang w:val="en-US" w:eastAsia="zh-CN"/>
        </w:rPr>
        <w:t>24.97</w:t>
      </w:r>
      <w:r>
        <w:rPr>
          <w:rFonts w:hint="eastAsia" w:ascii="仿宋_GB2312" w:hAnsi="ˎ̥" w:eastAsia="仿宋_GB2312"/>
          <w:color w:val="000000"/>
          <w:sz w:val="32"/>
          <w:szCs w:val="32"/>
          <w:highlight w:val="none"/>
        </w:rPr>
        <w:t>%；农林水支出</w:t>
      </w:r>
      <w:r>
        <w:rPr>
          <w:rFonts w:hint="eastAsia" w:ascii="仿宋_GB2312" w:hAnsi="ˎ̥" w:eastAsia="仿宋_GB2312"/>
          <w:color w:val="000000"/>
          <w:sz w:val="32"/>
          <w:szCs w:val="32"/>
          <w:highlight w:val="none"/>
          <w:lang w:val="en-US" w:eastAsia="zh-CN"/>
        </w:rPr>
        <w:t>409.88万元，</w:t>
      </w:r>
      <w:r>
        <w:rPr>
          <w:rFonts w:hint="eastAsia" w:ascii="仿宋_GB2312" w:hAnsi="ˎ̥" w:eastAsia="仿宋_GB2312"/>
          <w:color w:val="000000"/>
          <w:sz w:val="32"/>
          <w:szCs w:val="32"/>
          <w:highlight w:val="none"/>
        </w:rPr>
        <w:t>占</w:t>
      </w:r>
      <w:r>
        <w:rPr>
          <w:rFonts w:hint="eastAsia" w:ascii="仿宋_GB2312" w:hAnsi="ˎ̥" w:eastAsia="仿宋_GB2312"/>
          <w:color w:val="000000"/>
          <w:sz w:val="32"/>
          <w:szCs w:val="32"/>
          <w:highlight w:val="none"/>
          <w:lang w:val="en-US" w:eastAsia="zh-CN"/>
        </w:rPr>
        <w:t>55.67</w:t>
      </w:r>
      <w:r>
        <w:rPr>
          <w:rFonts w:hint="eastAsia" w:ascii="仿宋_GB2312" w:hAnsi="ˎ̥" w:eastAsia="仿宋_GB2312"/>
          <w:color w:val="000000"/>
          <w:sz w:val="32"/>
          <w:szCs w:val="32"/>
          <w:highlight w:val="none"/>
        </w:rPr>
        <w:t>%。</w:t>
      </w:r>
    </w:p>
    <w:p w14:paraId="59ED2AC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根据各部门（单位）实际支出涉及的支出功能分类类级科目填列）</w:t>
      </w:r>
    </w:p>
    <w:p w14:paraId="6595430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bookmarkStart w:id="91" w:name="_Toc29364_WPSOffice_Level2"/>
      <w:bookmarkStart w:id="92" w:name="_Toc15415_WPSOffice_Level2"/>
      <w:bookmarkStart w:id="93" w:name="_Toc22318_WPSOffice_Level2"/>
      <w:bookmarkStart w:id="94" w:name="_Toc25136_WPSOffice_Level2"/>
      <w:bookmarkStart w:id="95" w:name="_Toc21701_WPSOffice_Level2"/>
      <w:bookmarkStart w:id="96" w:name="_Toc9502_WPSOffice_Level2"/>
      <w:r>
        <w:rPr>
          <w:rFonts w:hint="eastAsia" w:ascii="楷体" w:hAnsi="楷体" w:eastAsia="楷体" w:cs="楷体"/>
          <w:color w:val="000000"/>
          <w:sz w:val="32"/>
          <w:szCs w:val="32"/>
          <w:highlight w:val="none"/>
        </w:rPr>
        <w:t>（三）一般公共预算财政拨款支出决算具体情况。</w:t>
      </w:r>
      <w:bookmarkEnd w:id="91"/>
      <w:bookmarkEnd w:id="92"/>
      <w:bookmarkEnd w:id="93"/>
      <w:bookmarkEnd w:id="94"/>
      <w:bookmarkEnd w:id="95"/>
      <w:bookmarkEnd w:id="96"/>
    </w:p>
    <w:p w14:paraId="7F43A66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年度一般公共预算财政拨款支出年初预算为</w:t>
      </w:r>
      <w:r>
        <w:rPr>
          <w:rFonts w:hint="eastAsia" w:ascii="仿宋_GB2312" w:hAnsi="ˎ̥" w:eastAsia="仿宋_GB2312"/>
          <w:color w:val="000000"/>
          <w:sz w:val="32"/>
          <w:szCs w:val="32"/>
          <w:highlight w:val="none"/>
          <w:lang w:val="en-US" w:eastAsia="zh-CN"/>
        </w:rPr>
        <w:t>665.7</w:t>
      </w:r>
      <w:r>
        <w:rPr>
          <w:rFonts w:hint="eastAsia" w:ascii="仿宋_GB2312" w:hAnsi="ˎ̥" w:eastAsia="仿宋_GB2312"/>
          <w:color w:val="000000"/>
          <w:sz w:val="32"/>
          <w:szCs w:val="32"/>
          <w:highlight w:val="none"/>
        </w:rPr>
        <w:t>万元，支出决算为</w:t>
      </w:r>
      <w:r>
        <w:rPr>
          <w:rFonts w:hint="eastAsia" w:ascii="仿宋_GB2312" w:hAnsi="ˎ̥" w:eastAsia="仿宋_GB2312"/>
          <w:color w:val="000000"/>
          <w:sz w:val="32"/>
          <w:szCs w:val="32"/>
          <w:highlight w:val="none"/>
          <w:lang w:val="en-US" w:eastAsia="zh-CN"/>
        </w:rPr>
        <w:t>735.88</w:t>
      </w:r>
      <w:r>
        <w:rPr>
          <w:rFonts w:hint="eastAsia" w:ascii="仿宋_GB2312" w:hAnsi="ˎ̥" w:eastAsia="仿宋_GB2312"/>
          <w:color w:val="000000"/>
          <w:sz w:val="32"/>
          <w:szCs w:val="32"/>
          <w:highlight w:val="none"/>
        </w:rPr>
        <w:t>万元，完成年初预算的</w:t>
      </w:r>
      <w:r>
        <w:rPr>
          <w:rFonts w:hint="eastAsia" w:ascii="仿宋_GB2312" w:hAnsi="ˎ̥" w:eastAsia="仿宋_GB2312"/>
          <w:color w:val="000000"/>
          <w:sz w:val="32"/>
          <w:szCs w:val="32"/>
          <w:highlight w:val="none"/>
          <w:lang w:val="en-US" w:eastAsia="zh-CN"/>
        </w:rPr>
        <w:t>110.54</w:t>
      </w:r>
      <w:r>
        <w:rPr>
          <w:rFonts w:hint="eastAsia" w:ascii="仿宋_GB2312" w:hAnsi="ˎ̥" w:eastAsia="仿宋_GB2312"/>
          <w:color w:val="000000"/>
          <w:sz w:val="32"/>
          <w:szCs w:val="32"/>
          <w:highlight w:val="none"/>
        </w:rPr>
        <w:t>%。其中：</w:t>
      </w:r>
    </w:p>
    <w:p w14:paraId="54722C6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b/>
          <w:color w:val="000000"/>
          <w:sz w:val="32"/>
          <w:szCs w:val="32"/>
          <w:highlight w:val="none"/>
        </w:rPr>
      </w:pPr>
      <w:r>
        <w:rPr>
          <w:rFonts w:hint="eastAsia" w:ascii="仿宋_GB2312" w:hAnsi="ˎ̥" w:eastAsia="仿宋_GB2312"/>
          <w:color w:val="000000"/>
          <w:sz w:val="32"/>
          <w:szCs w:val="32"/>
          <w:highlight w:val="none"/>
        </w:rPr>
        <w:t>1.</w:t>
      </w:r>
      <w:r>
        <w:rPr>
          <w:rFonts w:hint="eastAsia" w:ascii="仿宋_GB2312" w:hAnsi="ˎ̥" w:eastAsia="仿宋_GB2312"/>
          <w:b/>
          <w:color w:val="000000"/>
          <w:sz w:val="32"/>
          <w:szCs w:val="32"/>
          <w:highlight w:val="none"/>
        </w:rPr>
        <w:t>一般公共服务（类）人大事务（款）行政运行（项）。</w:t>
      </w:r>
    </w:p>
    <w:p w14:paraId="24BA891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年初预算为</w:t>
      </w:r>
      <w:r>
        <w:rPr>
          <w:rFonts w:hint="eastAsia" w:ascii="仿宋_GB2312" w:hAnsi="ˎ̥" w:eastAsia="仿宋_GB2312"/>
          <w:color w:val="000000"/>
          <w:sz w:val="32"/>
          <w:szCs w:val="32"/>
          <w:highlight w:val="none"/>
          <w:lang w:val="en-US" w:eastAsia="zh-CN"/>
        </w:rPr>
        <w:t>665.7</w:t>
      </w:r>
      <w:r>
        <w:rPr>
          <w:rFonts w:hint="eastAsia" w:ascii="仿宋_GB2312" w:hAnsi="ˎ̥" w:eastAsia="仿宋_GB2312"/>
          <w:color w:val="000000"/>
          <w:sz w:val="32"/>
          <w:szCs w:val="32"/>
          <w:highlight w:val="none"/>
        </w:rPr>
        <w:t>万元，支出决算为</w:t>
      </w:r>
      <w:r>
        <w:rPr>
          <w:rFonts w:hint="eastAsia" w:ascii="仿宋_GB2312" w:hAnsi="ˎ̥" w:eastAsia="仿宋_GB2312"/>
          <w:color w:val="000000"/>
          <w:sz w:val="32"/>
          <w:szCs w:val="32"/>
          <w:highlight w:val="none"/>
          <w:lang w:val="en-US" w:eastAsia="zh-CN"/>
        </w:rPr>
        <w:t>735.88</w:t>
      </w:r>
      <w:r>
        <w:rPr>
          <w:rFonts w:hint="eastAsia" w:ascii="仿宋_GB2312" w:hAnsi="ˎ̥" w:eastAsia="仿宋_GB2312"/>
          <w:color w:val="000000"/>
          <w:sz w:val="32"/>
          <w:szCs w:val="32"/>
          <w:highlight w:val="none"/>
        </w:rPr>
        <w:t>万元，完成年初预算的</w:t>
      </w:r>
      <w:r>
        <w:rPr>
          <w:rFonts w:hint="eastAsia" w:ascii="仿宋_GB2312" w:hAnsi="ˎ̥" w:eastAsia="仿宋_GB2312"/>
          <w:color w:val="000000"/>
          <w:sz w:val="32"/>
          <w:szCs w:val="32"/>
          <w:highlight w:val="none"/>
          <w:lang w:val="en-US" w:eastAsia="zh-CN"/>
        </w:rPr>
        <w:t>110.54</w:t>
      </w:r>
      <w:r>
        <w:rPr>
          <w:rFonts w:hint="eastAsia" w:ascii="仿宋_GB2312" w:hAnsi="ˎ̥" w:eastAsia="仿宋_GB2312"/>
          <w:color w:val="000000"/>
          <w:sz w:val="32"/>
          <w:szCs w:val="32"/>
          <w:highlight w:val="none"/>
        </w:rPr>
        <w:t>%。决算数大于预算数的主要原因：是</w:t>
      </w:r>
      <w:r>
        <w:rPr>
          <w:rFonts w:hint="default" w:ascii="serif" w:hAnsi="ˎ̥" w:eastAsia="serif" w:cs="serif"/>
          <w:sz w:val="32"/>
          <w:szCs w:val="32"/>
          <w:shd w:val="clear" w:fill="FFFFFF"/>
          <w:lang w:eastAsia="zh-CN"/>
        </w:rPr>
        <w:t>年初结转</w:t>
      </w:r>
      <w:r>
        <w:rPr>
          <w:rFonts w:hint="eastAsia" w:ascii="serif" w:hAnsi="ˎ̥" w:eastAsia="serif" w:cs="serif"/>
          <w:sz w:val="32"/>
          <w:szCs w:val="32"/>
          <w:shd w:val="clear" w:fill="FFFFFF"/>
          <w:lang w:val="en-US" w:eastAsia="zh-CN"/>
        </w:rPr>
        <w:t>和追加基本</w:t>
      </w:r>
      <w:r>
        <w:rPr>
          <w:rFonts w:hint="default" w:ascii="serif" w:hAnsi="ˎ̥" w:eastAsia="serif" w:cs="serif"/>
          <w:sz w:val="32"/>
          <w:szCs w:val="32"/>
          <w:shd w:val="clear" w:fill="FFFFFF"/>
          <w:lang w:eastAsia="zh-CN"/>
        </w:rPr>
        <w:t>支出数</w:t>
      </w:r>
      <w:r>
        <w:rPr>
          <w:rFonts w:hint="eastAsia" w:ascii="serif" w:hAnsi="ˎ̥" w:eastAsia="serif" w:cs="serif"/>
          <w:sz w:val="32"/>
          <w:szCs w:val="32"/>
          <w:shd w:val="clear" w:fill="FFFFFF"/>
          <w:lang w:eastAsia="zh-CN"/>
        </w:rPr>
        <w:t>。</w:t>
      </w:r>
    </w:p>
    <w:p w14:paraId="2D93596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本部分支出决算数字可取自财决公开05表，年初预算数可取自各部门（单位）年初预算大本，根据各部门（单位）实际支出涉及的支出功能分类项级科目填列）</w:t>
      </w:r>
    </w:p>
    <w:p w14:paraId="20777F23">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color w:val="000000"/>
          <w:sz w:val="32"/>
          <w:szCs w:val="32"/>
          <w:highlight w:val="none"/>
        </w:rPr>
      </w:pPr>
      <w:r>
        <w:rPr>
          <w:rFonts w:hint="eastAsia" w:ascii="黑体" w:hAnsi="黑体" w:eastAsia="黑体" w:cs="黑体"/>
          <w:bCs/>
          <w:color w:val="000000"/>
          <w:sz w:val="32"/>
          <w:szCs w:val="32"/>
          <w:highlight w:val="none"/>
        </w:rPr>
        <w:t>六、一般公共预算财政拨款基本支出决算情况说明</w:t>
      </w:r>
    </w:p>
    <w:p w14:paraId="2C9C9F9D">
      <w:pPr>
        <w:keepNext w:val="0"/>
        <w:keepLines w:val="0"/>
        <w:pageBreakBefore w:val="0"/>
        <w:tabs>
          <w:tab w:val="center" w:pos="4473"/>
        </w:tabs>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年度财政拨款基本支出</w:t>
      </w:r>
      <w:r>
        <w:rPr>
          <w:rFonts w:hint="eastAsia" w:ascii="仿宋_GB2312" w:hAnsi="ˎ̥" w:eastAsia="仿宋_GB2312"/>
          <w:color w:val="000000"/>
          <w:sz w:val="32"/>
          <w:szCs w:val="32"/>
          <w:highlight w:val="none"/>
          <w:lang w:val="en-US" w:eastAsia="zh-CN"/>
        </w:rPr>
        <w:t>624.17</w:t>
      </w:r>
      <w:r>
        <w:rPr>
          <w:rFonts w:hint="eastAsia" w:ascii="仿宋_GB2312" w:hAnsi="ˎ̥" w:eastAsia="仿宋_GB2312"/>
          <w:color w:val="000000"/>
          <w:sz w:val="32"/>
          <w:szCs w:val="32"/>
          <w:highlight w:val="none"/>
        </w:rPr>
        <w:t>万元，其中：人员经费</w:t>
      </w:r>
      <w:r>
        <w:rPr>
          <w:rFonts w:hint="eastAsia" w:ascii="仿宋_GB2312" w:hAnsi="ˎ̥" w:eastAsia="仿宋_GB2312"/>
          <w:color w:val="000000"/>
          <w:sz w:val="32"/>
          <w:szCs w:val="32"/>
          <w:highlight w:val="none"/>
          <w:lang w:val="en-US" w:eastAsia="zh-CN"/>
        </w:rPr>
        <w:t>584.8</w:t>
      </w:r>
      <w:r>
        <w:rPr>
          <w:rFonts w:hint="eastAsia" w:ascii="仿宋_GB2312" w:hAnsi="ˎ̥" w:eastAsia="仿宋_GB2312"/>
          <w:color w:val="000000"/>
          <w:sz w:val="32"/>
          <w:szCs w:val="32"/>
          <w:highlight w:val="none"/>
        </w:rPr>
        <w:t>万元，主要包括：工资福利支出中的基本工资、津贴补贴、奖金、伙食补助费、绩效工资、机关事业单位基本养老保险缴费、职业年金缴费、职工基本医疗保险缴费、公务员医疗补助缴费、其他社会保障缴费、住房公积金、医疗费、其他工资福利支出；对个人和家庭的补助中的离休费、退休费、退职（役）费、抚恤金、生活补助、救济费、医疗费补助、助学金、奖励金、个人农业生产补贴、代缴社会保险费、其他对个人和家庭的补助。公用经费</w:t>
      </w:r>
      <w:r>
        <w:rPr>
          <w:rFonts w:hint="eastAsia" w:ascii="仿宋_GB2312" w:hAnsi="ˎ̥" w:eastAsia="仿宋_GB2312"/>
          <w:color w:val="000000"/>
          <w:sz w:val="32"/>
          <w:szCs w:val="32"/>
          <w:highlight w:val="none"/>
          <w:lang w:val="en-US" w:eastAsia="zh-CN"/>
        </w:rPr>
        <w:t>39.37</w:t>
      </w:r>
      <w:r>
        <w:rPr>
          <w:rFonts w:hint="eastAsia" w:ascii="仿宋_GB2312" w:hAnsi="ˎ̥" w:eastAsia="仿宋_GB2312"/>
          <w:color w:val="000000"/>
          <w:sz w:val="32"/>
          <w:szCs w:val="32"/>
          <w:highlight w:val="none"/>
        </w:rPr>
        <w:t>万元，主要包括：商品和服务支出中的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债务利息及费用支出中的国内债务付息及国外债务付息；资本性支出中的房屋建筑物构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等；其他支出中的国家赔偿费用支出、对民间非营利组织和群众性自治组织补贴</w:t>
      </w:r>
      <w:r>
        <w:rPr>
          <w:rFonts w:hint="eastAsia" w:ascii="仿宋_GB2312" w:hAnsi="ˎ̥" w:eastAsia="仿宋_GB2312"/>
          <w:color w:val="000000"/>
          <w:sz w:val="32"/>
          <w:szCs w:val="32"/>
          <w:highlight w:val="none"/>
          <w:lang w:eastAsia="zh-CN"/>
        </w:rPr>
        <w:t>、经常性</w:t>
      </w:r>
      <w:r>
        <w:rPr>
          <w:rFonts w:hint="eastAsia" w:ascii="仿宋_GB2312" w:hAnsi="ˎ̥" w:eastAsia="仿宋_GB2312"/>
          <w:color w:val="000000"/>
          <w:sz w:val="32"/>
          <w:szCs w:val="32"/>
          <w:highlight w:val="none"/>
        </w:rPr>
        <w:t>赠予、</w:t>
      </w:r>
      <w:r>
        <w:rPr>
          <w:rFonts w:hint="eastAsia" w:ascii="仿宋_GB2312" w:hAnsi="ˎ̥" w:eastAsia="仿宋_GB2312"/>
          <w:color w:val="000000"/>
          <w:sz w:val="32"/>
          <w:szCs w:val="32"/>
          <w:highlight w:val="none"/>
          <w:lang w:eastAsia="zh-CN"/>
        </w:rPr>
        <w:t>资本性赠予</w:t>
      </w:r>
      <w:r>
        <w:rPr>
          <w:rFonts w:hint="eastAsia" w:ascii="仿宋_GB2312" w:hAnsi="ˎ̥" w:eastAsia="仿宋_GB2312"/>
          <w:color w:val="000000"/>
          <w:sz w:val="32"/>
          <w:szCs w:val="32"/>
          <w:highlight w:val="none"/>
        </w:rPr>
        <w:t>和其他支出。</w:t>
      </w:r>
    </w:p>
    <w:p w14:paraId="32C08F96">
      <w:pPr>
        <w:keepNext w:val="0"/>
        <w:keepLines w:val="0"/>
        <w:pageBreakBefore w:val="0"/>
        <w:tabs>
          <w:tab w:val="center" w:pos="4473"/>
        </w:tabs>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上述数字可取自财决公开06表，各部门（单位）根据实际支出情况，选列相应支出经济分类。）</w:t>
      </w:r>
    </w:p>
    <w:p w14:paraId="64948AF6">
      <w:pPr>
        <w:keepNext w:val="0"/>
        <w:keepLines w:val="0"/>
        <w:pageBreakBefore w:val="0"/>
        <w:tabs>
          <w:tab w:val="center" w:pos="4473"/>
        </w:tabs>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七、政府性基金预算财政拨款支出决算情况说明</w:t>
      </w:r>
    </w:p>
    <w:p w14:paraId="731E29D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（一）政府性基金预算财政拨款支出决算总体情况。</w:t>
      </w:r>
    </w:p>
    <w:p w14:paraId="7D34DE3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年度政府性基金预算财政拨款支出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万元，占本年支出合计的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%。与202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年度相比，政府性基金预算财政拨款支出增加（减少）</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万元，增长（下降）</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%，主要原因是</w:t>
      </w:r>
      <w:r>
        <w:rPr>
          <w:rFonts w:hint="default" w:ascii="serif" w:hAnsi="ˎ̥" w:eastAsia="serif" w:cs="serif"/>
          <w:sz w:val="32"/>
          <w:szCs w:val="32"/>
          <w:lang w:eastAsia="zh-CN"/>
        </w:rPr>
        <w:t>无收支发生数</w:t>
      </w:r>
      <w:r>
        <w:rPr>
          <w:rFonts w:hint="eastAsia" w:ascii="仿宋_GB2312" w:hAnsi="ˎ̥" w:eastAsia="仿宋_GB2312"/>
          <w:color w:val="000000"/>
          <w:sz w:val="32"/>
          <w:szCs w:val="32"/>
          <w:highlight w:val="none"/>
        </w:rPr>
        <w:t>。</w:t>
      </w:r>
    </w:p>
    <w:p w14:paraId="03A4454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（二）政府性基金预算财政拨款支出决算结构情况。</w:t>
      </w:r>
    </w:p>
    <w:p w14:paraId="5090F17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年度政府性基金预算财政拨款支出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根据各部门（单位）实际支出涉及的支出功能分类类级科目填列）</w:t>
      </w:r>
    </w:p>
    <w:p w14:paraId="328C8F6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（三）政府性基金预算财政拨款支出决算具体情况。</w:t>
      </w:r>
    </w:p>
    <w:p w14:paraId="362A31B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年度政府性基金预算财政拨款支出年初预算为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万元，支出决算为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万元，完成年初预算的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14:paraId="5563A116">
      <w:pPr>
        <w:keepNext w:val="0"/>
        <w:keepLines w:val="0"/>
        <w:pageBreakBefore w:val="0"/>
        <w:tabs>
          <w:tab w:val="center" w:pos="4473"/>
        </w:tabs>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根据各部门（单位）实际支出涉及的支出功能分类项级科目填列，本部分202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年决算相关数据取自财决公开07表；202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年决算相关数据取自财决09表《政府性基金预算财政拨款收入支出决算表》）</w:t>
      </w:r>
    </w:p>
    <w:p w14:paraId="5DEF08F9">
      <w:pPr>
        <w:keepNext w:val="0"/>
        <w:keepLines w:val="0"/>
        <w:pageBreakBefore w:val="0"/>
        <w:tabs>
          <w:tab w:val="center" w:pos="4473"/>
        </w:tabs>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八、国有资本经营预算财政拨款支出决算情况说明</w:t>
      </w:r>
    </w:p>
    <w:p w14:paraId="7DE33DA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（一）国有资本经营预算财政拨款支出决算总体情况。</w:t>
      </w:r>
    </w:p>
    <w:p w14:paraId="328F217A">
      <w:pPr>
        <w:spacing w:before="0" w:beforeAutospacing="1" w:after="0" w:afterAutospacing="1"/>
        <w:ind w:left="0" w:firstLine="640" w:firstLineChars="200"/>
        <w:rPr>
          <w:rFonts w:hint="default" w:ascii="serif" w:hAnsi="ˎ̥" w:eastAsia="serif" w:cs="serif"/>
          <w:sz w:val="32"/>
          <w:szCs w:val="32"/>
          <w:lang w:val="en-US"/>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年度国有资本经营预算财政拨款支出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万元，占本年支出合计的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%。与202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年度相比，国有资本经营预算财政拨款支出增加（减少）</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万元，增长（下降）</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%，主要原因是</w:t>
      </w:r>
      <w:r>
        <w:rPr>
          <w:rFonts w:hint="default" w:ascii="serif" w:hAnsi="ˎ̥" w:eastAsia="serif" w:cs="serif"/>
          <w:sz w:val="32"/>
          <w:szCs w:val="32"/>
          <w:lang w:eastAsia="zh-CN"/>
        </w:rPr>
        <w:t>国有资本经营预算财政拨款支出无支出数，无增减比率。</w:t>
      </w:r>
    </w:p>
    <w:p w14:paraId="023F146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（二）国有资本经营预算财政拨款支出决算结构情况。</w:t>
      </w:r>
    </w:p>
    <w:p w14:paraId="75C3E41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年度国有资本经营预算财政拨款支出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w:t>
      </w:r>
    </w:p>
    <w:p w14:paraId="4B2D9F6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根据各部门（单位）实际支出涉及的支出功能分类类级科目填列）</w:t>
      </w:r>
    </w:p>
    <w:p w14:paraId="6EE523B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（三）国有资本经营预算财政拨款支出决算具体情况。</w:t>
      </w:r>
    </w:p>
    <w:p w14:paraId="06DF9E3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年度国有资本经营预算财政拨款支出年初预算为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万元，支出决算为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万元，完成年初预算的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14:paraId="2C9EF596">
      <w:pPr>
        <w:keepNext w:val="0"/>
        <w:keepLines w:val="0"/>
        <w:pageBreakBefore w:val="0"/>
        <w:tabs>
          <w:tab w:val="center" w:pos="4473"/>
        </w:tabs>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根据各部门（单位）实际支出涉及的支出功能分类项级科目填列，本部分202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年决算相关数据取自财决公开08表）。</w:t>
      </w:r>
    </w:p>
    <w:p w14:paraId="25F27B0E">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仿宋_GB2312" w:hAnsi="ˎ̥" w:eastAsia="楷体_GB2312"/>
          <w:color w:val="000000"/>
          <w:sz w:val="32"/>
          <w:szCs w:val="32"/>
          <w:highlight w:val="none"/>
        </w:rPr>
      </w:pPr>
      <w:r>
        <w:rPr>
          <w:rFonts w:hint="eastAsia" w:ascii="黑体" w:hAnsi="黑体" w:eastAsia="黑体" w:cs="黑体"/>
          <w:bCs/>
          <w:color w:val="000000"/>
          <w:sz w:val="32"/>
          <w:szCs w:val="32"/>
          <w:highlight w:val="none"/>
        </w:rPr>
        <w:t>九、财政拨款“三公”经费支出决算情况说明</w:t>
      </w:r>
    </w:p>
    <w:p w14:paraId="27F259B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000000"/>
          <w:sz w:val="32"/>
          <w:szCs w:val="32"/>
          <w:highlight w:val="none"/>
        </w:rPr>
      </w:pPr>
      <w:r>
        <w:rPr>
          <w:rFonts w:hint="eastAsia" w:ascii="楷体" w:hAnsi="楷体" w:eastAsia="楷体" w:cs="楷体"/>
          <w:bCs/>
          <w:color w:val="000000"/>
          <w:sz w:val="32"/>
          <w:szCs w:val="32"/>
          <w:highlight w:val="none"/>
        </w:rPr>
        <w:t>（一）财政拨款“三公”经费支出决算总体情况说明。</w:t>
      </w:r>
    </w:p>
    <w:p w14:paraId="0F4B4F40">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 xml:space="preserve">    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年度财政拨款“三公”经费支出预算为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万元，支出决算为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万元，完成预算的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14:paraId="44DE231E">
      <w:pPr>
        <w:keepNext w:val="0"/>
        <w:keepLines w:val="0"/>
        <w:pageBreakBefore w:val="0"/>
        <w:kinsoku/>
        <w:wordWrap/>
        <w:overflowPunct/>
        <w:topLinePunct w:val="0"/>
        <w:autoSpaceDE/>
        <w:autoSpaceDN/>
        <w:bidi w:val="0"/>
        <w:adjustRightInd/>
        <w:snapToGrid/>
        <w:spacing w:line="560" w:lineRule="exact"/>
        <w:textAlignment w:val="auto"/>
        <w:rPr>
          <w:rFonts w:hint="eastAsia" w:ascii="楷体" w:hAnsi="楷体" w:eastAsia="楷体" w:cs="楷体"/>
          <w:color w:val="000000"/>
          <w:sz w:val="32"/>
          <w:szCs w:val="32"/>
          <w:highlight w:val="none"/>
        </w:rPr>
      </w:pPr>
      <w:r>
        <w:rPr>
          <w:rFonts w:hint="eastAsia" w:ascii="楷体" w:hAnsi="楷体" w:eastAsia="楷体" w:cs="楷体"/>
          <w:b/>
          <w:bCs/>
          <w:color w:val="000000"/>
          <w:sz w:val="32"/>
          <w:szCs w:val="32"/>
          <w:highlight w:val="none"/>
        </w:rPr>
        <w:t xml:space="preserve">   </w:t>
      </w:r>
      <w:r>
        <w:rPr>
          <w:rFonts w:hint="eastAsia" w:ascii="楷体" w:hAnsi="楷体" w:eastAsia="楷体" w:cs="楷体"/>
          <w:color w:val="000000"/>
          <w:sz w:val="32"/>
          <w:szCs w:val="32"/>
          <w:highlight w:val="none"/>
        </w:rPr>
        <w:t xml:space="preserve"> （二）财政拨款“三公”经费支出决算具体情况说明。</w:t>
      </w:r>
    </w:p>
    <w:p w14:paraId="6C625E2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年度财政拨款“三公”经费支出决算中，因公出国（境）费支出决算</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%；公务用车购置及运行维护费支出决算</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%；公务接待费支出决算</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14:paraId="57F37E1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ˎ̥" w:eastAsia="仿宋_GB2312"/>
          <w:color w:val="000000"/>
          <w:sz w:val="32"/>
          <w:szCs w:val="32"/>
          <w:highlight w:val="none"/>
        </w:rPr>
      </w:pPr>
      <w:r>
        <w:rPr>
          <w:rFonts w:hint="eastAsia" w:ascii="仿宋_GB2312" w:hAnsi="ˎ̥" w:eastAsia="仿宋_GB2312"/>
          <w:b/>
          <w:color w:val="000000"/>
          <w:sz w:val="32"/>
          <w:szCs w:val="32"/>
          <w:highlight w:val="none"/>
        </w:rPr>
        <w:t xml:space="preserve">    2.公务用车购置及运行维护费支出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w:t>
      </w:r>
    </w:p>
    <w:p w14:paraId="06B76AC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ˎ̥" w:eastAsia="仿宋_GB2312"/>
          <w:bCs/>
          <w:color w:val="000000"/>
          <w:sz w:val="32"/>
          <w:szCs w:val="32"/>
          <w:highlight w:val="none"/>
        </w:rPr>
      </w:pPr>
      <w:r>
        <w:rPr>
          <w:rFonts w:hint="eastAsia" w:ascii="仿宋_GB2312" w:hAnsi="ˎ̥" w:eastAsia="仿宋_GB2312"/>
          <w:b/>
          <w:color w:val="000000"/>
          <w:sz w:val="32"/>
          <w:szCs w:val="32"/>
          <w:highlight w:val="none"/>
        </w:rPr>
        <w:t>公务用车运行维护费</w:t>
      </w:r>
      <w:r>
        <w:rPr>
          <w:rFonts w:hint="eastAsia" w:ascii="仿宋_GB2312" w:hAnsi="ˎ̥" w:eastAsia="仿宋_GB2312"/>
          <w:color w:val="000000"/>
          <w:sz w:val="32"/>
          <w:szCs w:val="32"/>
          <w:highlight w:val="none"/>
        </w:rPr>
        <w:t>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w:t>
      </w:r>
    </w:p>
    <w:p w14:paraId="0BC35DB0">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ˎ̥" w:eastAsia="仿宋_GB2312"/>
          <w:color w:val="000000"/>
          <w:sz w:val="32"/>
          <w:szCs w:val="32"/>
          <w:highlight w:val="none"/>
        </w:rPr>
      </w:pPr>
      <w:r>
        <w:rPr>
          <w:rFonts w:hint="eastAsia" w:ascii="仿宋_GB2312" w:hAnsi="ˎ̥" w:eastAsia="仿宋_GB2312"/>
          <w:b/>
          <w:color w:val="000000"/>
          <w:sz w:val="32"/>
          <w:szCs w:val="32"/>
          <w:highlight w:val="none"/>
        </w:rPr>
        <w:t xml:space="preserve">    3.公务接待费支出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万元，其中：</w:t>
      </w:r>
    </w:p>
    <w:p w14:paraId="539B1B2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ˎ̥" w:eastAsia="仿宋_GB2312"/>
          <w:color w:val="000000"/>
          <w:sz w:val="32"/>
          <w:szCs w:val="32"/>
          <w:highlight w:val="none"/>
        </w:rPr>
      </w:pPr>
      <w:r>
        <w:rPr>
          <w:rFonts w:hint="eastAsia" w:ascii="仿宋_GB2312" w:hAnsi="ˎ̥" w:eastAsia="仿宋_GB2312"/>
          <w:b/>
          <w:color w:val="000000"/>
          <w:sz w:val="32"/>
          <w:szCs w:val="32"/>
          <w:highlight w:val="none"/>
        </w:rPr>
        <w:t>国内接待费</w:t>
      </w:r>
      <w:r>
        <w:rPr>
          <w:rFonts w:hint="eastAsia" w:ascii="仿宋_GB2312" w:hAnsi="ˎ̥" w:eastAsia="仿宋_GB2312"/>
          <w:color w:val="000000"/>
          <w:sz w:val="32"/>
          <w:szCs w:val="32"/>
          <w:highlight w:val="none"/>
        </w:rPr>
        <w:t>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万元，国内公务接待</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批次，接待</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人次；</w:t>
      </w:r>
    </w:p>
    <w:p w14:paraId="7BAD676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国（境）外接待费支出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万元，国（境）外公务接待</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批次，接待</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人次；公务接待费支出决算数比预算数增加（减少）</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万元，增长（下降）</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14:paraId="6CB5809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年度“三公”经费预算数、决算数可取自附件财决公开09表，202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年的出国团组数、出国人次，公务用车购置数、公务用车保有量，接待团组数、接待人次可取自部门决算报表F03表《机构运行信息表》）。</w:t>
      </w:r>
    </w:p>
    <w:p w14:paraId="049277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十、预算绩效情况说明</w:t>
      </w:r>
    </w:p>
    <w:p w14:paraId="6E634D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color w:val="000000"/>
          <w:sz w:val="32"/>
          <w:szCs w:val="32"/>
          <w:highlight w:val="none"/>
        </w:rPr>
      </w:pPr>
      <w:r>
        <w:rPr>
          <w:rFonts w:hint="eastAsia" w:ascii="楷体" w:hAnsi="楷体" w:eastAsia="楷体" w:cs="楷体"/>
          <w:b w:val="0"/>
          <w:bCs/>
          <w:color w:val="000000"/>
          <w:sz w:val="32"/>
          <w:szCs w:val="32"/>
          <w:highlight w:val="none"/>
          <w:lang w:eastAsia="zh-CN"/>
        </w:rPr>
        <w:t>（一）</w:t>
      </w:r>
      <w:r>
        <w:rPr>
          <w:rFonts w:hint="eastAsia" w:ascii="楷体" w:hAnsi="楷体" w:eastAsia="楷体" w:cs="楷体"/>
          <w:b w:val="0"/>
          <w:bCs/>
          <w:color w:val="000000"/>
          <w:sz w:val="32"/>
          <w:szCs w:val="32"/>
          <w:highlight w:val="none"/>
        </w:rPr>
        <w:t>绩效管理工作开展情况。</w:t>
      </w:r>
    </w:p>
    <w:p w14:paraId="4C2B0F5E">
      <w:pPr>
        <w:spacing w:line="578" w:lineRule="exact"/>
        <w:ind w:left="0" w:firstLine="640" w:firstLineChars="200"/>
        <w:rPr>
          <w:rFonts w:hint="eastAsia" w:ascii="仿宋" w:hAnsi="仿宋" w:eastAsia="仿宋" w:cs="仿宋"/>
          <w:sz w:val="32"/>
          <w:szCs w:val="32"/>
          <w:lang w:val="en-US"/>
        </w:rPr>
      </w:pPr>
      <w:r>
        <w:rPr>
          <w:rFonts w:hint="eastAsia" w:ascii="仿宋" w:hAnsi="仿宋" w:eastAsia="仿宋" w:cs="仿宋"/>
          <w:sz w:val="32"/>
          <w:szCs w:val="32"/>
          <w:lang w:eastAsia="zh-CN"/>
        </w:rPr>
        <w:t>根据财政预算管理要求，我单位组织对</w:t>
      </w:r>
      <w:r>
        <w:rPr>
          <w:rFonts w:hint="eastAsia" w:ascii="仿宋" w:hAnsi="仿宋" w:eastAsia="仿宋" w:cs="仿宋"/>
          <w:sz w:val="32"/>
          <w:szCs w:val="32"/>
          <w:lang w:val="en-US"/>
        </w:rPr>
        <w:t>202</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年度一般公共预算项目支出全面开展绩效自评。自评项目</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个，共涉及资金</w:t>
      </w:r>
      <w:r>
        <w:rPr>
          <w:rFonts w:hint="eastAsia" w:ascii="仿宋" w:hAnsi="仿宋" w:eastAsia="仿宋" w:cs="仿宋"/>
          <w:sz w:val="32"/>
          <w:szCs w:val="32"/>
          <w:lang w:val="en-US" w:eastAsia="zh-CN"/>
        </w:rPr>
        <w:t>133.8</w:t>
      </w:r>
      <w:r>
        <w:rPr>
          <w:rFonts w:hint="eastAsia" w:ascii="仿宋" w:hAnsi="仿宋" w:eastAsia="仿宋" w:cs="仿宋"/>
          <w:sz w:val="32"/>
          <w:szCs w:val="32"/>
          <w:lang w:eastAsia="zh-CN"/>
        </w:rPr>
        <w:t>万元，自评覆盖率达到</w:t>
      </w:r>
      <w:r>
        <w:rPr>
          <w:rFonts w:hint="eastAsia" w:ascii="仿宋" w:hAnsi="仿宋" w:eastAsia="仿宋" w:cs="仿宋"/>
          <w:sz w:val="32"/>
          <w:szCs w:val="32"/>
          <w:lang w:val="en-US"/>
        </w:rPr>
        <w:t>100%</w:t>
      </w:r>
      <w:r>
        <w:rPr>
          <w:rFonts w:hint="eastAsia" w:ascii="仿宋" w:hAnsi="仿宋" w:eastAsia="仿宋" w:cs="仿宋"/>
          <w:sz w:val="32"/>
          <w:szCs w:val="32"/>
          <w:lang w:eastAsia="zh-CN"/>
        </w:rPr>
        <w:t>。</w:t>
      </w:r>
    </w:p>
    <w:p w14:paraId="5D921BD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rPr>
          <w:rFonts w:hint="eastAsia" w:ascii="仿宋" w:hAnsi="仿宋" w:eastAsia="仿宋" w:cs="仿宋"/>
          <w:sz w:val="32"/>
          <w:szCs w:val="32"/>
          <w:lang w:val="en-US" w:bidi="ar"/>
        </w:rPr>
      </w:pPr>
      <w:r>
        <w:rPr>
          <w:rFonts w:hint="eastAsia" w:ascii="仿宋" w:hAnsi="仿宋" w:eastAsia="仿宋" w:cs="仿宋"/>
          <w:sz w:val="32"/>
          <w:szCs w:val="32"/>
          <w:lang w:eastAsia="zh-CN"/>
        </w:rPr>
        <w:t>共组织对“海南六连岭省级自然保护区</w:t>
      </w:r>
      <w:r>
        <w:rPr>
          <w:rFonts w:hint="eastAsia" w:ascii="仿宋" w:hAnsi="仿宋" w:eastAsia="仿宋" w:cs="仿宋"/>
          <w:i w:val="0"/>
          <w:iCs w:val="0"/>
          <w:caps w:val="0"/>
          <w:color w:val="000000"/>
          <w:spacing w:val="0"/>
          <w:sz w:val="32"/>
          <w:szCs w:val="32"/>
          <w:shd w:val="clear" w:fill="FFFFFF"/>
        </w:rPr>
        <w:t>林业生态保护恢复资金</w:t>
      </w:r>
      <w:r>
        <w:rPr>
          <w:rFonts w:hint="eastAsia" w:ascii="仿宋" w:hAnsi="仿宋" w:eastAsia="仿宋" w:cs="仿宋"/>
          <w:sz w:val="32"/>
          <w:szCs w:val="32"/>
          <w:lang w:eastAsia="zh-CN"/>
        </w:rPr>
        <w:t>、</w:t>
      </w:r>
      <w:r>
        <w:rPr>
          <w:rFonts w:hint="eastAsia" w:ascii="仿宋" w:hAnsi="仿宋" w:eastAsia="仿宋" w:cs="仿宋"/>
          <w:i w:val="0"/>
          <w:iCs w:val="0"/>
          <w:caps w:val="0"/>
          <w:color w:val="000000"/>
          <w:spacing w:val="0"/>
          <w:sz w:val="32"/>
          <w:szCs w:val="32"/>
          <w:shd w:val="clear" w:fill="FFFFFF"/>
        </w:rPr>
        <w:t>生态保护与恢复</w:t>
      </w:r>
      <w:r>
        <w:rPr>
          <w:rFonts w:hint="eastAsia" w:ascii="仿宋" w:hAnsi="仿宋" w:eastAsia="仿宋" w:cs="仿宋"/>
          <w:sz w:val="32"/>
          <w:szCs w:val="32"/>
          <w:lang w:eastAsia="zh-CN"/>
        </w:rPr>
        <w:t>、</w:t>
      </w:r>
      <w:r>
        <w:rPr>
          <w:rFonts w:hint="eastAsia" w:ascii="仿宋" w:hAnsi="仿宋" w:eastAsia="仿宋" w:cs="仿宋"/>
          <w:i w:val="0"/>
          <w:iCs w:val="0"/>
          <w:caps w:val="0"/>
          <w:color w:val="000000"/>
          <w:spacing w:val="0"/>
          <w:sz w:val="32"/>
          <w:szCs w:val="32"/>
          <w:shd w:val="clear" w:fill="FFFFFF"/>
        </w:rPr>
        <w:t>林业改革发展资金</w:t>
      </w:r>
      <w:r>
        <w:rPr>
          <w:rFonts w:hint="eastAsia" w:ascii="仿宋" w:hAnsi="仿宋" w:eastAsia="仿宋" w:cs="仿宋"/>
          <w:sz w:val="32"/>
          <w:szCs w:val="32"/>
          <w:lang w:eastAsia="zh-CN"/>
        </w:rPr>
        <w:t>等</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个项目开展了部门评价，涉及资金</w:t>
      </w:r>
      <w:r>
        <w:rPr>
          <w:rFonts w:hint="eastAsia" w:ascii="仿宋" w:hAnsi="仿宋" w:eastAsia="仿宋" w:cs="仿宋"/>
          <w:sz w:val="32"/>
          <w:szCs w:val="32"/>
          <w:lang w:val="en-US" w:eastAsia="zh-CN"/>
        </w:rPr>
        <w:t>133.8</w:t>
      </w:r>
      <w:r>
        <w:rPr>
          <w:rFonts w:hint="eastAsia" w:ascii="仿宋" w:hAnsi="仿宋" w:eastAsia="仿宋" w:cs="仿宋"/>
          <w:sz w:val="32"/>
          <w:szCs w:val="32"/>
          <w:lang w:eastAsia="zh-CN"/>
        </w:rPr>
        <w:t>万元。从评价情况来看，一是项目支出控制在预算范围内，并节约项目</w:t>
      </w:r>
      <w:r>
        <w:rPr>
          <w:rFonts w:hint="eastAsia" w:ascii="仿宋" w:hAnsi="仿宋" w:eastAsia="仿宋" w:cs="仿宋"/>
          <w:sz w:val="32"/>
          <w:szCs w:val="32"/>
          <w:lang w:eastAsia="zh-CN" w:bidi="ar"/>
        </w:rPr>
        <w:t>资金</w:t>
      </w:r>
      <w:r>
        <w:rPr>
          <w:rFonts w:hint="eastAsia" w:ascii="仿宋" w:hAnsi="仿宋" w:eastAsia="仿宋" w:cs="仿宋"/>
          <w:sz w:val="32"/>
          <w:szCs w:val="32"/>
          <w:lang w:val="en-US" w:eastAsia="zh-CN"/>
        </w:rPr>
        <w:t>16.09</w:t>
      </w:r>
      <w:r>
        <w:rPr>
          <w:rFonts w:hint="eastAsia" w:ascii="仿宋" w:hAnsi="仿宋" w:eastAsia="仿宋" w:cs="仿宋"/>
          <w:sz w:val="32"/>
          <w:szCs w:val="32"/>
          <w:lang w:eastAsia="zh-CN"/>
        </w:rPr>
        <w:t>万元；二是项目按时按质按量完成，项目绩效目标达标率为</w:t>
      </w:r>
      <w:r>
        <w:rPr>
          <w:rFonts w:hint="eastAsia" w:ascii="仿宋" w:hAnsi="仿宋" w:eastAsia="仿宋" w:cs="仿宋"/>
          <w:sz w:val="32"/>
          <w:szCs w:val="32"/>
          <w:lang w:val="en-US" w:eastAsia="zh-CN"/>
        </w:rPr>
        <w:t>96</w:t>
      </w:r>
      <w:bookmarkStart w:id="121" w:name="_GoBack"/>
      <w:bookmarkEnd w:id="121"/>
      <w:r>
        <w:rPr>
          <w:rFonts w:hint="eastAsia" w:ascii="仿宋" w:hAnsi="仿宋" w:eastAsia="仿宋" w:cs="仿宋"/>
          <w:sz w:val="32"/>
          <w:szCs w:val="32"/>
          <w:lang w:val="en-US"/>
        </w:rPr>
        <w:t>%</w:t>
      </w:r>
      <w:r>
        <w:rPr>
          <w:rFonts w:hint="eastAsia" w:ascii="仿宋" w:hAnsi="仿宋" w:eastAsia="仿宋" w:cs="仿宋"/>
          <w:sz w:val="32"/>
          <w:szCs w:val="32"/>
          <w:lang w:eastAsia="zh-CN"/>
        </w:rPr>
        <w:t>，</w:t>
      </w:r>
      <w:r>
        <w:rPr>
          <w:rFonts w:hint="eastAsia" w:ascii="仿宋" w:hAnsi="仿宋" w:eastAsia="仿宋" w:cs="仿宋"/>
          <w:sz w:val="32"/>
          <w:szCs w:val="32"/>
          <w:lang w:eastAsia="zh-CN" w:bidi="ar"/>
        </w:rPr>
        <w:t>以上</w:t>
      </w:r>
      <w:r>
        <w:rPr>
          <w:rFonts w:hint="eastAsia" w:ascii="仿宋" w:hAnsi="仿宋" w:eastAsia="仿宋" w:cs="仿宋"/>
          <w:sz w:val="32"/>
          <w:szCs w:val="32"/>
          <w:lang w:val="en-US" w:eastAsia="zh-CN" w:bidi="ar"/>
        </w:rPr>
        <w:t>3</w:t>
      </w:r>
      <w:r>
        <w:rPr>
          <w:rFonts w:hint="eastAsia" w:ascii="仿宋" w:hAnsi="仿宋" w:eastAsia="仿宋" w:cs="仿宋"/>
          <w:sz w:val="32"/>
          <w:szCs w:val="32"/>
          <w:lang w:eastAsia="zh-CN" w:bidi="ar"/>
        </w:rPr>
        <w:t>个项目的评价平均分约为</w:t>
      </w:r>
      <w:r>
        <w:rPr>
          <w:rFonts w:hint="eastAsia" w:ascii="仿宋" w:hAnsi="仿宋" w:eastAsia="仿宋" w:cs="仿宋"/>
          <w:sz w:val="32"/>
          <w:szCs w:val="32"/>
          <w:lang w:val="en-US" w:bidi="ar"/>
        </w:rPr>
        <w:t>93</w:t>
      </w:r>
      <w:r>
        <w:rPr>
          <w:rFonts w:hint="eastAsia" w:ascii="仿宋" w:hAnsi="仿宋" w:eastAsia="仿宋" w:cs="仿宋"/>
          <w:sz w:val="32"/>
          <w:szCs w:val="32"/>
          <w:lang w:eastAsia="zh-CN" w:bidi="ar"/>
        </w:rPr>
        <w:t>分</w:t>
      </w:r>
      <w:r>
        <w:rPr>
          <w:rFonts w:hint="eastAsia" w:ascii="仿宋" w:hAnsi="仿宋" w:eastAsia="仿宋" w:cs="仿宋"/>
          <w:sz w:val="32"/>
          <w:szCs w:val="32"/>
          <w:lang w:eastAsia="zh-CN"/>
        </w:rPr>
        <w:t>，评价结果为优。</w:t>
      </w:r>
    </w:p>
    <w:p w14:paraId="1C357151">
      <w:pPr>
        <w:ind w:left="0" w:firstLine="640" w:firstLineChars="200"/>
        <w:rPr>
          <w:rFonts w:hint="eastAsia" w:ascii="仿宋" w:hAnsi="仿宋" w:eastAsia="仿宋" w:cs="仿宋"/>
          <w:sz w:val="32"/>
          <w:szCs w:val="32"/>
          <w:lang w:val="en-US"/>
        </w:rPr>
      </w:pPr>
      <w:r>
        <w:rPr>
          <w:rFonts w:hint="eastAsia" w:ascii="仿宋" w:hAnsi="仿宋" w:eastAsia="仿宋" w:cs="仿宋"/>
          <w:sz w:val="32"/>
          <w:szCs w:val="32"/>
          <w:lang w:val="en-US"/>
        </w:rPr>
        <w:t xml:space="preserve">    </w:t>
      </w:r>
      <w:r>
        <w:rPr>
          <w:rFonts w:hint="eastAsia" w:ascii="仿宋" w:hAnsi="仿宋" w:eastAsia="仿宋" w:cs="仿宋"/>
          <w:sz w:val="32"/>
          <w:szCs w:val="32"/>
          <w:lang w:eastAsia="zh-CN"/>
        </w:rPr>
        <w:t>开展整体支出绩效评价，涉及资金</w:t>
      </w:r>
      <w:r>
        <w:rPr>
          <w:rFonts w:hint="eastAsia" w:ascii="仿宋" w:hAnsi="仿宋" w:eastAsia="仿宋" w:cs="仿宋"/>
          <w:sz w:val="32"/>
          <w:szCs w:val="32"/>
          <w:lang w:val="en-US" w:eastAsia="zh-CN"/>
        </w:rPr>
        <w:t>133.8</w:t>
      </w:r>
      <w:r>
        <w:rPr>
          <w:rFonts w:hint="eastAsia" w:ascii="仿宋" w:hAnsi="仿宋" w:eastAsia="仿宋" w:cs="仿宋"/>
          <w:sz w:val="32"/>
          <w:szCs w:val="32"/>
          <w:lang w:eastAsia="zh-CN"/>
        </w:rPr>
        <w:t>万元，共有我单位今年在省本级部门决算中反映海南六连岭省级自然保护区生态恢复及生态公益林管护项目绩效自评结果。</w:t>
      </w:r>
    </w:p>
    <w:p w14:paraId="52195C4D">
      <w:pPr>
        <w:spacing w:line="560" w:lineRule="exact"/>
        <w:ind w:left="0" w:firstLine="640" w:firstLineChars="200"/>
        <w:rPr>
          <w:rFonts w:hint="eastAsia" w:ascii="仿宋" w:hAnsi="仿宋" w:eastAsia="仿宋" w:cs="仿宋"/>
          <w:sz w:val="32"/>
          <w:szCs w:val="32"/>
          <w:lang w:val="en-US" w:bidi="ar"/>
        </w:rPr>
      </w:pPr>
      <w:r>
        <w:rPr>
          <w:rFonts w:hint="eastAsia" w:ascii="仿宋" w:hAnsi="仿宋" w:eastAsia="仿宋" w:cs="仿宋"/>
          <w:sz w:val="32"/>
          <w:szCs w:val="32"/>
          <w:lang w:eastAsia="zh-CN" w:bidi="ar"/>
        </w:rPr>
        <w:t>本项目完成后规范了六连岭保护区的建设和管理水平，促进了保护区健康可持续发展。</w:t>
      </w:r>
    </w:p>
    <w:p w14:paraId="3CB05FC1">
      <w:pPr>
        <w:ind w:left="0" w:firstLine="640" w:firstLineChars="200"/>
        <w:rPr>
          <w:rFonts w:hint="eastAsia" w:ascii="仿宋" w:hAnsi="仿宋" w:eastAsia="仿宋" w:cs="仿宋"/>
          <w:sz w:val="32"/>
          <w:szCs w:val="32"/>
          <w:lang w:val="en-US"/>
        </w:rPr>
      </w:pPr>
      <w:r>
        <w:rPr>
          <w:rFonts w:hint="eastAsia" w:ascii="仿宋" w:hAnsi="仿宋" w:eastAsia="仿宋" w:cs="仿宋"/>
          <w:sz w:val="32"/>
          <w:szCs w:val="32"/>
          <w:lang w:eastAsia="zh-CN"/>
        </w:rPr>
        <w:t>生态公益林管护项目绩效自评综述：根据年初设定的绩效目标，项目自评得分为</w:t>
      </w:r>
      <w:r>
        <w:rPr>
          <w:rFonts w:hint="eastAsia" w:ascii="仿宋" w:hAnsi="仿宋" w:eastAsia="仿宋" w:cs="仿宋"/>
          <w:sz w:val="32"/>
          <w:szCs w:val="32"/>
          <w:lang w:val="en-US"/>
        </w:rPr>
        <w:t>93</w:t>
      </w:r>
      <w:r>
        <w:rPr>
          <w:rFonts w:hint="eastAsia" w:ascii="仿宋" w:hAnsi="仿宋" w:eastAsia="仿宋" w:cs="仿宋"/>
          <w:sz w:val="32"/>
          <w:szCs w:val="32"/>
          <w:lang w:eastAsia="zh-CN"/>
        </w:rPr>
        <w:t>分。全年预算数为</w:t>
      </w:r>
      <w:r>
        <w:rPr>
          <w:rFonts w:hint="eastAsia" w:ascii="仿宋" w:hAnsi="仿宋" w:eastAsia="仿宋" w:cs="仿宋"/>
          <w:sz w:val="32"/>
          <w:szCs w:val="32"/>
          <w:lang w:val="en-US" w:eastAsia="zh-CN"/>
        </w:rPr>
        <w:t>133.8</w:t>
      </w:r>
      <w:r>
        <w:rPr>
          <w:rFonts w:hint="eastAsia" w:ascii="仿宋" w:hAnsi="仿宋" w:eastAsia="仿宋" w:cs="仿宋"/>
          <w:sz w:val="32"/>
          <w:szCs w:val="32"/>
          <w:lang w:eastAsia="zh-CN"/>
        </w:rPr>
        <w:t>万元，执行数为</w:t>
      </w:r>
      <w:r>
        <w:rPr>
          <w:rFonts w:hint="eastAsia" w:ascii="仿宋" w:hAnsi="仿宋" w:eastAsia="仿宋" w:cs="仿宋"/>
          <w:sz w:val="32"/>
          <w:szCs w:val="32"/>
          <w:lang w:val="en-US" w:eastAsia="zh-CN"/>
        </w:rPr>
        <w:t>111.71</w:t>
      </w:r>
      <w:r>
        <w:rPr>
          <w:rFonts w:hint="eastAsia" w:ascii="仿宋" w:hAnsi="仿宋" w:eastAsia="仿宋" w:cs="仿宋"/>
          <w:sz w:val="32"/>
          <w:szCs w:val="32"/>
          <w:lang w:eastAsia="zh-CN"/>
        </w:rPr>
        <w:t>万元，完成预算的</w:t>
      </w:r>
      <w:r>
        <w:rPr>
          <w:rFonts w:hint="eastAsia" w:ascii="仿宋" w:hAnsi="仿宋" w:eastAsia="仿宋" w:cs="仿宋"/>
          <w:sz w:val="32"/>
          <w:szCs w:val="32"/>
          <w:lang w:val="en-US" w:eastAsia="zh-CN"/>
        </w:rPr>
        <w:t>83.49</w:t>
      </w:r>
      <w:r>
        <w:rPr>
          <w:rFonts w:hint="eastAsia" w:ascii="仿宋" w:hAnsi="仿宋" w:eastAsia="仿宋" w:cs="仿宋"/>
          <w:sz w:val="32"/>
          <w:szCs w:val="32"/>
          <w:lang w:val="en-US"/>
        </w:rPr>
        <w:t>%</w:t>
      </w:r>
      <w:r>
        <w:rPr>
          <w:rFonts w:hint="eastAsia" w:ascii="仿宋" w:hAnsi="仿宋" w:eastAsia="仿宋" w:cs="仿宋"/>
          <w:sz w:val="32"/>
          <w:szCs w:val="32"/>
          <w:lang w:eastAsia="zh-CN"/>
        </w:rPr>
        <w:t>。项目绩效目标完成情况：一是本项目批复财政资金</w:t>
      </w:r>
      <w:r>
        <w:rPr>
          <w:rFonts w:hint="eastAsia" w:ascii="仿宋" w:hAnsi="仿宋" w:eastAsia="仿宋" w:cs="仿宋"/>
          <w:sz w:val="32"/>
          <w:szCs w:val="32"/>
          <w:lang w:val="en-US" w:eastAsia="zh-CN"/>
        </w:rPr>
        <w:t>133.8</w:t>
      </w:r>
      <w:r>
        <w:rPr>
          <w:rFonts w:hint="eastAsia" w:ascii="仿宋" w:hAnsi="仿宋" w:eastAsia="仿宋" w:cs="仿宋"/>
          <w:sz w:val="32"/>
          <w:szCs w:val="32"/>
          <w:lang w:eastAsia="zh-CN"/>
        </w:rPr>
        <w:t>万元，项目实施按照预算控制支出；二是制定的各项绩效指标产出达到预期。发现的主要问题及原因：一是绩效目标完成率</w:t>
      </w:r>
      <w:r>
        <w:rPr>
          <w:rFonts w:hint="eastAsia" w:ascii="仿宋" w:hAnsi="仿宋" w:eastAsia="仿宋" w:cs="仿宋"/>
          <w:sz w:val="32"/>
          <w:szCs w:val="32"/>
          <w:lang w:val="en-US" w:eastAsia="zh-CN"/>
        </w:rPr>
        <w:t>83.49</w:t>
      </w:r>
      <w:r>
        <w:rPr>
          <w:rFonts w:hint="eastAsia" w:ascii="仿宋" w:hAnsi="仿宋" w:eastAsia="仿宋" w:cs="仿宋"/>
          <w:sz w:val="32"/>
          <w:szCs w:val="32"/>
          <w:lang w:val="en-US"/>
        </w:rPr>
        <w:t>%</w:t>
      </w:r>
      <w:r>
        <w:rPr>
          <w:rFonts w:hint="eastAsia" w:ascii="仿宋" w:hAnsi="仿宋" w:eastAsia="仿宋" w:cs="仿宋"/>
          <w:sz w:val="32"/>
          <w:szCs w:val="32"/>
          <w:lang w:eastAsia="zh-CN"/>
        </w:rPr>
        <w:t>，未能按</w:t>
      </w:r>
      <w:r>
        <w:rPr>
          <w:rFonts w:hint="eastAsia" w:ascii="仿宋" w:hAnsi="仿宋" w:eastAsia="仿宋" w:cs="仿宋"/>
          <w:sz w:val="32"/>
          <w:szCs w:val="32"/>
          <w:lang w:val="en-US"/>
        </w:rPr>
        <w:t>100%</w:t>
      </w:r>
      <w:r>
        <w:rPr>
          <w:rFonts w:hint="eastAsia" w:ascii="仿宋" w:hAnsi="仿宋" w:eastAsia="仿宋" w:cs="仿宋"/>
          <w:sz w:val="32"/>
          <w:szCs w:val="32"/>
          <w:lang w:eastAsia="zh-CN"/>
        </w:rPr>
        <w:t>完成。下一步改进措施：进一步优化绩效目标，确保绩效目标完成</w:t>
      </w:r>
      <w:r>
        <w:rPr>
          <w:rFonts w:hint="eastAsia" w:ascii="仿宋" w:hAnsi="仿宋" w:eastAsia="仿宋" w:cs="仿宋"/>
          <w:sz w:val="32"/>
          <w:szCs w:val="32"/>
          <w:lang w:val="en-US"/>
        </w:rPr>
        <w:t>100%</w:t>
      </w:r>
      <w:r>
        <w:rPr>
          <w:rFonts w:hint="eastAsia" w:ascii="仿宋" w:hAnsi="仿宋" w:eastAsia="仿宋" w:cs="仿宋"/>
          <w:sz w:val="32"/>
          <w:szCs w:val="32"/>
          <w:lang w:eastAsia="zh-CN"/>
        </w:rPr>
        <w:t>。</w:t>
      </w:r>
    </w:p>
    <w:p w14:paraId="5C30A249">
      <w:pPr>
        <w:ind w:left="0" w:firstLine="640" w:firstLineChars="200"/>
        <w:rPr>
          <w:rFonts w:hint="eastAsia" w:ascii="仿宋" w:hAnsi="仿宋" w:eastAsia="仿宋" w:cs="仿宋"/>
          <w:sz w:val="32"/>
          <w:szCs w:val="32"/>
          <w:lang w:val="en-US"/>
        </w:rPr>
      </w:pPr>
      <w:r>
        <w:rPr>
          <w:rFonts w:hint="eastAsia" w:ascii="仿宋" w:hAnsi="仿宋" w:eastAsia="仿宋" w:cs="仿宋"/>
          <w:sz w:val="32"/>
          <w:szCs w:val="32"/>
          <w:lang w:eastAsia="zh-CN"/>
        </w:rPr>
        <w:t>项目完成后生态管护区域生态环境得到明显改善，林地涵养水源、保持水土能力不断增强，自然灾害发生率和强度得到一定程度控制；实行生态效益补偿保障林农的收益权，调动了爱林护林的积极性，促进林区的发展；严格的公益林管护，有效的保护了森林资源，提高了森林质量，森林资源的增长，生态功能的提升，生态效益补偿和公益林管护在其中发挥了重要作用。</w:t>
      </w:r>
    </w:p>
    <w:p w14:paraId="16362905">
      <w:pPr>
        <w:spacing w:line="560" w:lineRule="exact"/>
        <w:rPr>
          <w:rFonts w:hint="eastAsia" w:ascii="仿宋" w:hAnsi="仿宋" w:eastAsia="仿宋" w:cs="仿宋"/>
          <w:sz w:val="32"/>
          <w:szCs w:val="32"/>
          <w:lang w:val="en-US"/>
        </w:rPr>
      </w:pPr>
      <w:r>
        <w:rPr>
          <w:rFonts w:hint="eastAsia" w:ascii="仿宋" w:hAnsi="仿宋" w:eastAsia="仿宋" w:cs="仿宋"/>
          <w:sz w:val="32"/>
          <w:szCs w:val="32"/>
          <w:lang w:eastAsia="zh-CN"/>
        </w:rPr>
        <w:t>。从评价情况来看，海南六连岭省级自然保护区</w:t>
      </w:r>
      <w:r>
        <w:rPr>
          <w:rFonts w:hint="eastAsia" w:ascii="仿宋" w:hAnsi="仿宋" w:eastAsia="仿宋" w:cs="仿宋"/>
          <w:i w:val="0"/>
          <w:iCs w:val="0"/>
          <w:caps w:val="0"/>
          <w:color w:val="000000"/>
          <w:spacing w:val="0"/>
          <w:sz w:val="32"/>
          <w:szCs w:val="32"/>
          <w:shd w:val="clear" w:fill="FFFFFF"/>
        </w:rPr>
        <w:t>生态保护恢复资金</w:t>
      </w:r>
      <w:r>
        <w:rPr>
          <w:rFonts w:hint="eastAsia" w:ascii="仿宋" w:hAnsi="仿宋" w:eastAsia="仿宋" w:cs="仿宋"/>
          <w:i w:val="0"/>
          <w:iCs w:val="0"/>
          <w:caps w:val="0"/>
          <w:color w:val="000000"/>
          <w:spacing w:val="0"/>
          <w:sz w:val="32"/>
          <w:szCs w:val="32"/>
          <w:shd w:val="clear" w:fill="FFFFFF"/>
          <w:lang w:val="en-US" w:eastAsia="zh-CN"/>
        </w:rPr>
        <w:t>项目</w:t>
      </w:r>
      <w:r>
        <w:rPr>
          <w:rFonts w:hint="eastAsia" w:ascii="仿宋" w:hAnsi="仿宋" w:eastAsia="仿宋" w:cs="仿宋"/>
          <w:sz w:val="32"/>
          <w:szCs w:val="32"/>
          <w:lang w:eastAsia="zh-CN"/>
        </w:rPr>
        <w:t>的预算数</w:t>
      </w:r>
      <w:r>
        <w:rPr>
          <w:rFonts w:hint="eastAsia" w:ascii="仿宋" w:hAnsi="仿宋" w:eastAsia="仿宋" w:cs="仿宋"/>
          <w:sz w:val="32"/>
          <w:szCs w:val="32"/>
          <w:lang w:eastAsia="zh-CN" w:bidi="ar"/>
        </w:rPr>
        <w:t>为</w:t>
      </w:r>
      <w:r>
        <w:rPr>
          <w:rFonts w:hint="eastAsia" w:ascii="仿宋" w:hAnsi="仿宋" w:eastAsia="仿宋" w:cs="仿宋"/>
          <w:sz w:val="32"/>
          <w:szCs w:val="32"/>
          <w:lang w:val="en-US" w:eastAsia="zh-CN" w:bidi="ar"/>
        </w:rPr>
        <w:t>25.42</w:t>
      </w:r>
      <w:r>
        <w:rPr>
          <w:rFonts w:hint="eastAsia" w:ascii="仿宋" w:hAnsi="仿宋" w:eastAsia="仿宋" w:cs="仿宋"/>
          <w:sz w:val="32"/>
          <w:szCs w:val="32"/>
          <w:lang w:eastAsia="zh-CN" w:bidi="ar"/>
        </w:rPr>
        <w:t>万元，但执行数为</w:t>
      </w:r>
      <w:r>
        <w:rPr>
          <w:rFonts w:hint="eastAsia" w:ascii="仿宋" w:hAnsi="仿宋" w:eastAsia="仿宋" w:cs="仿宋"/>
          <w:sz w:val="32"/>
          <w:szCs w:val="32"/>
          <w:lang w:val="en-US" w:eastAsia="zh-CN" w:bidi="ar"/>
        </w:rPr>
        <w:t>14.73</w:t>
      </w:r>
      <w:r>
        <w:rPr>
          <w:rFonts w:hint="eastAsia" w:ascii="仿宋" w:hAnsi="仿宋" w:eastAsia="仿宋" w:cs="仿宋"/>
          <w:sz w:val="32"/>
          <w:szCs w:val="32"/>
          <w:lang w:eastAsia="zh-CN" w:bidi="ar"/>
        </w:rPr>
        <w:t>万元，项目节约资金</w:t>
      </w:r>
      <w:r>
        <w:rPr>
          <w:rFonts w:hint="eastAsia" w:ascii="仿宋" w:hAnsi="仿宋" w:eastAsia="仿宋" w:cs="仿宋"/>
          <w:sz w:val="32"/>
          <w:szCs w:val="32"/>
          <w:lang w:val="en-US" w:eastAsia="zh-CN"/>
        </w:rPr>
        <w:t>10.69</w:t>
      </w:r>
      <w:r>
        <w:rPr>
          <w:rFonts w:hint="eastAsia" w:ascii="仿宋" w:hAnsi="仿宋" w:eastAsia="仿宋" w:cs="仿宋"/>
          <w:sz w:val="32"/>
          <w:szCs w:val="32"/>
          <w:lang w:eastAsia="zh-CN"/>
        </w:rPr>
        <w:t>万元</w:t>
      </w:r>
      <w:r>
        <w:rPr>
          <w:rFonts w:hint="eastAsia" w:ascii="仿宋" w:hAnsi="仿宋" w:eastAsia="仿宋" w:cs="仿宋"/>
          <w:sz w:val="32"/>
          <w:szCs w:val="32"/>
          <w:lang w:eastAsia="zh-CN" w:bidi="ar"/>
        </w:rPr>
        <w:t>。</w:t>
      </w:r>
      <w:r>
        <w:rPr>
          <w:rFonts w:hint="eastAsia" w:ascii="仿宋" w:hAnsi="仿宋" w:eastAsia="仿宋" w:cs="仿宋"/>
          <w:i w:val="0"/>
          <w:iCs w:val="0"/>
          <w:caps w:val="0"/>
          <w:color w:val="000000"/>
          <w:spacing w:val="0"/>
          <w:sz w:val="32"/>
          <w:szCs w:val="32"/>
          <w:shd w:val="clear" w:fill="FFFFFF"/>
        </w:rPr>
        <w:t>林业改革发展资金</w:t>
      </w:r>
      <w:r>
        <w:rPr>
          <w:rFonts w:hint="eastAsia" w:ascii="仿宋" w:hAnsi="仿宋" w:eastAsia="仿宋" w:cs="仿宋"/>
          <w:sz w:val="32"/>
          <w:szCs w:val="32"/>
          <w:lang w:eastAsia="zh-CN"/>
        </w:rPr>
        <w:t>项目预算数为</w:t>
      </w:r>
      <w:r>
        <w:rPr>
          <w:rFonts w:hint="eastAsia" w:ascii="仿宋" w:hAnsi="仿宋" w:eastAsia="仿宋" w:cs="仿宋"/>
          <w:sz w:val="32"/>
          <w:szCs w:val="32"/>
          <w:lang w:val="en-US" w:eastAsia="zh-CN"/>
        </w:rPr>
        <w:t>84.08</w:t>
      </w:r>
      <w:r>
        <w:rPr>
          <w:rFonts w:hint="eastAsia" w:ascii="仿宋" w:hAnsi="仿宋" w:eastAsia="仿宋" w:cs="仿宋"/>
          <w:sz w:val="32"/>
          <w:szCs w:val="32"/>
          <w:lang w:eastAsia="zh-CN"/>
        </w:rPr>
        <w:t>万元，执行数为</w:t>
      </w:r>
      <w:r>
        <w:rPr>
          <w:rFonts w:hint="eastAsia" w:ascii="仿宋" w:hAnsi="仿宋" w:eastAsia="仿宋" w:cs="仿宋"/>
          <w:sz w:val="32"/>
          <w:szCs w:val="32"/>
          <w:lang w:val="en-US" w:eastAsia="zh-CN"/>
        </w:rPr>
        <w:t>75.34</w:t>
      </w:r>
      <w:r>
        <w:rPr>
          <w:rFonts w:hint="eastAsia" w:ascii="仿宋" w:hAnsi="仿宋" w:eastAsia="仿宋" w:cs="仿宋"/>
          <w:sz w:val="32"/>
          <w:szCs w:val="32"/>
          <w:lang w:eastAsia="zh-CN"/>
        </w:rPr>
        <w:t>万元，项目节约</w:t>
      </w:r>
      <w:r>
        <w:rPr>
          <w:rFonts w:hint="eastAsia" w:ascii="仿宋" w:hAnsi="仿宋" w:eastAsia="仿宋" w:cs="仿宋"/>
          <w:sz w:val="32"/>
          <w:szCs w:val="32"/>
          <w:lang w:eastAsia="zh-CN" w:bidi="ar"/>
        </w:rPr>
        <w:t>资金</w:t>
      </w:r>
      <w:r>
        <w:rPr>
          <w:rFonts w:hint="eastAsia" w:ascii="仿宋" w:hAnsi="仿宋" w:eastAsia="仿宋" w:cs="仿宋"/>
          <w:sz w:val="32"/>
          <w:szCs w:val="32"/>
          <w:lang w:val="en-US" w:eastAsia="zh-CN" w:bidi="ar"/>
        </w:rPr>
        <w:t>8.74</w:t>
      </w:r>
      <w:r>
        <w:rPr>
          <w:rFonts w:hint="eastAsia" w:ascii="仿宋" w:hAnsi="仿宋" w:eastAsia="仿宋" w:cs="仿宋"/>
          <w:sz w:val="32"/>
          <w:szCs w:val="32"/>
          <w:lang w:eastAsia="zh-CN" w:bidi="ar"/>
        </w:rPr>
        <w:t>万，</w:t>
      </w:r>
      <w:r>
        <w:rPr>
          <w:rFonts w:hint="eastAsia" w:ascii="仿宋" w:hAnsi="仿宋" w:eastAsia="仿宋" w:cs="仿宋"/>
          <w:sz w:val="32"/>
          <w:szCs w:val="32"/>
          <w:lang w:eastAsia="zh-CN"/>
        </w:rPr>
        <w:t>生态保护与恢复项目预算数为</w:t>
      </w:r>
      <w:r>
        <w:rPr>
          <w:rFonts w:hint="eastAsia" w:ascii="仿宋" w:hAnsi="仿宋" w:eastAsia="仿宋" w:cs="仿宋"/>
          <w:sz w:val="32"/>
          <w:szCs w:val="32"/>
          <w:lang w:val="en-US" w:eastAsia="zh-CN"/>
        </w:rPr>
        <w:t>24.3</w:t>
      </w:r>
      <w:r>
        <w:rPr>
          <w:rFonts w:hint="eastAsia" w:ascii="仿宋" w:hAnsi="仿宋" w:eastAsia="仿宋" w:cs="仿宋"/>
          <w:sz w:val="32"/>
          <w:szCs w:val="32"/>
          <w:lang w:eastAsia="zh-CN"/>
        </w:rPr>
        <w:t>万元，执行数为</w:t>
      </w:r>
      <w:r>
        <w:rPr>
          <w:rFonts w:hint="eastAsia" w:ascii="仿宋" w:hAnsi="仿宋" w:eastAsia="仿宋" w:cs="仿宋"/>
          <w:sz w:val="32"/>
          <w:szCs w:val="32"/>
          <w:lang w:val="en-US" w:eastAsia="zh-CN"/>
        </w:rPr>
        <w:t>21.64</w:t>
      </w:r>
      <w:r>
        <w:rPr>
          <w:rFonts w:hint="eastAsia" w:ascii="仿宋" w:hAnsi="仿宋" w:eastAsia="仿宋" w:cs="仿宋"/>
          <w:sz w:val="32"/>
          <w:szCs w:val="32"/>
          <w:lang w:eastAsia="zh-CN"/>
        </w:rPr>
        <w:t>万，项目节约</w:t>
      </w:r>
      <w:r>
        <w:rPr>
          <w:rFonts w:hint="eastAsia" w:ascii="仿宋" w:hAnsi="仿宋" w:eastAsia="仿宋" w:cs="仿宋"/>
          <w:sz w:val="32"/>
          <w:szCs w:val="32"/>
          <w:lang w:eastAsia="zh-CN" w:bidi="ar"/>
        </w:rPr>
        <w:t>资金</w:t>
      </w:r>
      <w:r>
        <w:rPr>
          <w:rFonts w:hint="eastAsia" w:ascii="仿宋" w:hAnsi="仿宋" w:eastAsia="仿宋" w:cs="仿宋"/>
          <w:sz w:val="32"/>
          <w:szCs w:val="32"/>
          <w:lang w:val="en-US" w:eastAsia="zh-CN" w:bidi="ar"/>
        </w:rPr>
        <w:t>2.66</w:t>
      </w:r>
      <w:r>
        <w:rPr>
          <w:rFonts w:hint="eastAsia" w:ascii="仿宋" w:hAnsi="仿宋" w:eastAsia="仿宋" w:cs="仿宋"/>
          <w:sz w:val="32"/>
          <w:szCs w:val="32"/>
          <w:lang w:eastAsia="zh-CN" w:bidi="ar"/>
        </w:rPr>
        <w:t>万。整体项目成本控制较好。</w:t>
      </w:r>
    </w:p>
    <w:p w14:paraId="22DBCB4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楷体" w:hAnsi="楷体" w:eastAsia="楷体" w:cs="楷体"/>
          <w:b w:val="0"/>
          <w:bCs/>
          <w:color w:val="000000"/>
          <w:sz w:val="32"/>
          <w:szCs w:val="32"/>
          <w:highlight w:val="none"/>
          <w:lang w:val="en-US" w:eastAsia="zh-CN"/>
        </w:rPr>
      </w:pPr>
      <w:r>
        <w:rPr>
          <w:rFonts w:hint="eastAsia" w:ascii="楷体" w:hAnsi="楷体" w:eastAsia="楷体" w:cs="楷体"/>
          <w:b w:val="0"/>
          <w:bCs/>
          <w:color w:val="000000"/>
          <w:sz w:val="32"/>
          <w:szCs w:val="32"/>
          <w:highlight w:val="none"/>
          <w:lang w:eastAsia="zh-CN"/>
        </w:rPr>
        <w:t>（二）</w:t>
      </w:r>
      <w:r>
        <w:rPr>
          <w:rFonts w:hint="eastAsia" w:ascii="楷体" w:hAnsi="楷体" w:eastAsia="楷体" w:cs="楷体"/>
          <w:b w:val="0"/>
          <w:bCs/>
          <w:color w:val="000000"/>
          <w:sz w:val="32"/>
          <w:szCs w:val="32"/>
          <w:highlight w:val="none"/>
        </w:rPr>
        <w:t>部门决算中项目绩效自评结果</w:t>
      </w:r>
    </w:p>
    <w:p w14:paraId="263C7665">
      <w:pPr>
        <w:ind w:left="0" w:firstLine="640" w:firstLineChars="200"/>
        <w:rPr>
          <w:rFonts w:hint="eastAsia" w:ascii="仿宋" w:hAnsi="仿宋" w:eastAsia="仿宋" w:cs="仿宋"/>
          <w:sz w:val="32"/>
          <w:szCs w:val="32"/>
          <w:lang w:val="en-US"/>
        </w:rPr>
      </w:pPr>
      <w:r>
        <w:rPr>
          <w:rFonts w:hint="eastAsia" w:ascii="仿宋" w:hAnsi="仿宋" w:eastAsia="仿宋" w:cs="仿宋"/>
          <w:sz w:val="32"/>
          <w:szCs w:val="32"/>
          <w:lang w:eastAsia="zh-CN"/>
        </w:rPr>
        <w:t>我单位今年在省本级部门决算中反映海南六连岭省级自然保护区</w:t>
      </w:r>
      <w:r>
        <w:rPr>
          <w:rFonts w:hint="eastAsia" w:ascii="仿宋" w:hAnsi="仿宋" w:eastAsia="仿宋" w:cs="仿宋"/>
          <w:i w:val="0"/>
          <w:iCs w:val="0"/>
          <w:caps w:val="0"/>
          <w:color w:val="000000"/>
          <w:spacing w:val="0"/>
          <w:sz w:val="32"/>
          <w:szCs w:val="32"/>
          <w:shd w:val="clear" w:fill="FFFFFF"/>
        </w:rPr>
        <w:t>生态保护恢复资金</w:t>
      </w:r>
      <w:r>
        <w:rPr>
          <w:rFonts w:hint="eastAsia" w:ascii="仿宋" w:hAnsi="仿宋" w:eastAsia="仿宋" w:cs="仿宋"/>
          <w:sz w:val="32"/>
          <w:szCs w:val="32"/>
          <w:lang w:eastAsia="zh-CN"/>
        </w:rPr>
        <w:t>、</w:t>
      </w:r>
      <w:r>
        <w:rPr>
          <w:rFonts w:hint="eastAsia" w:ascii="仿宋" w:hAnsi="仿宋" w:eastAsia="仿宋" w:cs="仿宋"/>
          <w:i w:val="0"/>
          <w:iCs w:val="0"/>
          <w:caps w:val="0"/>
          <w:color w:val="000000"/>
          <w:spacing w:val="0"/>
          <w:sz w:val="32"/>
          <w:szCs w:val="32"/>
          <w:shd w:val="clear" w:fill="FFFFFF"/>
        </w:rPr>
        <w:t>生态保护与恢复</w:t>
      </w:r>
      <w:r>
        <w:rPr>
          <w:rFonts w:hint="eastAsia" w:ascii="仿宋" w:hAnsi="仿宋" w:eastAsia="仿宋" w:cs="仿宋"/>
          <w:sz w:val="32"/>
          <w:szCs w:val="32"/>
          <w:lang w:eastAsia="zh-CN"/>
        </w:rPr>
        <w:t>、</w:t>
      </w:r>
      <w:r>
        <w:rPr>
          <w:rFonts w:hint="eastAsia" w:ascii="仿宋" w:hAnsi="仿宋" w:eastAsia="仿宋" w:cs="仿宋"/>
          <w:i w:val="0"/>
          <w:iCs w:val="0"/>
          <w:caps w:val="0"/>
          <w:color w:val="000000"/>
          <w:spacing w:val="0"/>
          <w:sz w:val="32"/>
          <w:szCs w:val="32"/>
          <w:shd w:val="clear" w:fill="FFFFFF"/>
        </w:rPr>
        <w:t>林业改革发展资金</w:t>
      </w:r>
      <w:r>
        <w:rPr>
          <w:rFonts w:hint="eastAsia" w:ascii="仿宋" w:hAnsi="仿宋" w:eastAsia="仿宋" w:cs="仿宋"/>
          <w:sz w:val="32"/>
          <w:szCs w:val="32"/>
          <w:lang w:eastAsia="zh-CN"/>
        </w:rPr>
        <w:t>绩效自评结果。</w:t>
      </w:r>
    </w:p>
    <w:p w14:paraId="0C82591A">
      <w:pPr>
        <w:spacing w:line="560" w:lineRule="exact"/>
        <w:ind w:left="0" w:firstLine="640" w:firstLineChars="200"/>
        <w:rPr>
          <w:rFonts w:hint="eastAsia" w:ascii="仿宋" w:hAnsi="仿宋" w:eastAsia="仿宋" w:cs="仿宋"/>
          <w:sz w:val="32"/>
          <w:szCs w:val="32"/>
          <w:lang w:val="en-US" w:bidi="ar"/>
        </w:rPr>
      </w:pPr>
      <w:r>
        <w:rPr>
          <w:rFonts w:hint="eastAsia" w:ascii="仿宋" w:hAnsi="仿宋" w:eastAsia="仿宋" w:cs="仿宋"/>
          <w:sz w:val="32"/>
          <w:szCs w:val="32"/>
          <w:lang w:eastAsia="zh-CN"/>
        </w:rPr>
        <w:t>海南六连岭省级自然保护区</w:t>
      </w:r>
      <w:r>
        <w:rPr>
          <w:rFonts w:hint="eastAsia" w:ascii="仿宋" w:hAnsi="仿宋" w:eastAsia="仿宋" w:cs="仿宋"/>
          <w:i w:val="0"/>
          <w:iCs w:val="0"/>
          <w:caps w:val="0"/>
          <w:color w:val="000000"/>
          <w:spacing w:val="0"/>
          <w:sz w:val="32"/>
          <w:szCs w:val="32"/>
          <w:shd w:val="clear" w:fill="FFFFFF"/>
        </w:rPr>
        <w:t>生态保护恢复资金</w:t>
      </w:r>
      <w:r>
        <w:rPr>
          <w:rFonts w:hint="eastAsia" w:ascii="仿宋" w:hAnsi="仿宋" w:eastAsia="仿宋" w:cs="仿宋"/>
          <w:sz w:val="32"/>
          <w:szCs w:val="32"/>
          <w:lang w:eastAsia="zh-CN"/>
        </w:rPr>
        <w:t>绩效自评综述：根据年初设定的绩效目标，项目自评得分为</w:t>
      </w:r>
      <w:r>
        <w:rPr>
          <w:rFonts w:hint="eastAsia" w:ascii="仿宋" w:hAnsi="仿宋" w:eastAsia="仿宋" w:cs="仿宋"/>
          <w:sz w:val="32"/>
          <w:szCs w:val="32"/>
          <w:lang w:val="en-US"/>
        </w:rPr>
        <w:t>93</w:t>
      </w:r>
      <w:r>
        <w:rPr>
          <w:rFonts w:hint="eastAsia" w:ascii="仿宋" w:hAnsi="仿宋" w:eastAsia="仿宋" w:cs="仿宋"/>
          <w:sz w:val="32"/>
          <w:szCs w:val="32"/>
          <w:lang w:eastAsia="zh-CN"/>
        </w:rPr>
        <w:t>分。全年预算数为</w:t>
      </w:r>
      <w:r>
        <w:rPr>
          <w:rFonts w:hint="eastAsia" w:ascii="仿宋" w:hAnsi="仿宋" w:eastAsia="仿宋" w:cs="仿宋"/>
          <w:sz w:val="32"/>
          <w:szCs w:val="32"/>
          <w:lang w:val="en-US" w:eastAsia="zh-CN"/>
        </w:rPr>
        <w:t>25.24</w:t>
      </w:r>
      <w:r>
        <w:rPr>
          <w:rFonts w:hint="eastAsia" w:ascii="仿宋" w:hAnsi="仿宋" w:eastAsia="仿宋" w:cs="仿宋"/>
          <w:sz w:val="32"/>
          <w:szCs w:val="32"/>
          <w:lang w:eastAsia="zh-CN"/>
        </w:rPr>
        <w:t>万元，执行数为</w:t>
      </w:r>
      <w:r>
        <w:rPr>
          <w:rFonts w:hint="eastAsia" w:ascii="仿宋" w:hAnsi="仿宋" w:eastAsia="仿宋" w:cs="仿宋"/>
          <w:sz w:val="32"/>
          <w:szCs w:val="32"/>
          <w:lang w:val="en-US" w:eastAsia="zh-CN" w:bidi="ar"/>
        </w:rPr>
        <w:t>14.73</w:t>
      </w:r>
      <w:r>
        <w:rPr>
          <w:rFonts w:hint="eastAsia" w:ascii="仿宋" w:hAnsi="仿宋" w:eastAsia="仿宋" w:cs="仿宋"/>
          <w:sz w:val="32"/>
          <w:szCs w:val="32"/>
          <w:lang w:eastAsia="zh-CN" w:bidi="ar"/>
        </w:rPr>
        <w:t>万元</w:t>
      </w:r>
      <w:r>
        <w:rPr>
          <w:rFonts w:hint="eastAsia" w:ascii="仿宋" w:hAnsi="仿宋" w:eastAsia="仿宋" w:cs="仿宋"/>
          <w:sz w:val="32"/>
          <w:szCs w:val="32"/>
          <w:lang w:eastAsia="zh-CN"/>
        </w:rPr>
        <w:t>，完成预算的</w:t>
      </w:r>
      <w:r>
        <w:rPr>
          <w:rFonts w:hint="eastAsia" w:ascii="仿宋" w:hAnsi="仿宋" w:eastAsia="仿宋" w:cs="仿宋"/>
          <w:sz w:val="32"/>
          <w:szCs w:val="32"/>
          <w:lang w:val="en-US" w:eastAsia="zh-CN"/>
        </w:rPr>
        <w:t>58.36</w:t>
      </w:r>
      <w:r>
        <w:rPr>
          <w:rFonts w:hint="eastAsia" w:ascii="仿宋" w:hAnsi="仿宋" w:eastAsia="仿宋" w:cs="仿宋"/>
          <w:sz w:val="32"/>
          <w:szCs w:val="32"/>
          <w:lang w:val="en-US"/>
        </w:rPr>
        <w:t>%</w:t>
      </w:r>
      <w:r>
        <w:rPr>
          <w:rFonts w:hint="eastAsia" w:ascii="仿宋" w:hAnsi="仿宋" w:eastAsia="仿宋" w:cs="仿宋"/>
          <w:sz w:val="32"/>
          <w:szCs w:val="32"/>
          <w:lang w:eastAsia="zh-CN"/>
        </w:rPr>
        <w:t>。项目绩效目标完成情况：完成了六连岭自然保护区保护</w:t>
      </w:r>
      <w:r>
        <w:rPr>
          <w:rFonts w:hint="eastAsia" w:ascii="仿宋" w:hAnsi="仿宋" w:eastAsia="仿宋" w:cs="仿宋"/>
          <w:i w:val="0"/>
          <w:iCs w:val="0"/>
          <w:caps w:val="0"/>
          <w:color w:val="000000"/>
          <w:spacing w:val="0"/>
          <w:sz w:val="32"/>
          <w:szCs w:val="32"/>
          <w:shd w:val="clear" w:fill="FFFFFF"/>
        </w:rPr>
        <w:t>生态保护恢复</w:t>
      </w:r>
      <w:r>
        <w:rPr>
          <w:rFonts w:hint="eastAsia" w:ascii="仿宋" w:hAnsi="仿宋" w:eastAsia="仿宋" w:cs="仿宋"/>
          <w:sz w:val="32"/>
          <w:szCs w:val="32"/>
          <w:lang w:eastAsia="zh-CN"/>
        </w:rPr>
        <w:t>；</w:t>
      </w:r>
      <w:r>
        <w:rPr>
          <w:rFonts w:hint="eastAsia" w:ascii="仿宋" w:hAnsi="仿宋" w:eastAsia="仿宋" w:cs="仿宋"/>
          <w:sz w:val="32"/>
          <w:szCs w:val="32"/>
          <w:lang w:eastAsia="zh-CN" w:bidi="ar"/>
        </w:rPr>
        <w:t>本项目完成后规范了六连岭保护区的建设和管理水平，促进了保护区管护健康可持续发展。</w:t>
      </w:r>
    </w:p>
    <w:p w14:paraId="1C3DFB9B">
      <w:pPr>
        <w:ind w:left="0" w:firstLine="640" w:firstLineChars="200"/>
        <w:rPr>
          <w:rFonts w:hint="eastAsia" w:ascii="仿宋" w:hAnsi="仿宋" w:eastAsia="仿宋" w:cs="仿宋"/>
          <w:sz w:val="32"/>
          <w:szCs w:val="32"/>
          <w:lang w:val="en-US"/>
        </w:rPr>
      </w:pPr>
      <w:r>
        <w:rPr>
          <w:rFonts w:hint="eastAsia" w:ascii="仿宋" w:hAnsi="仿宋" w:eastAsia="仿宋" w:cs="仿宋"/>
          <w:i w:val="0"/>
          <w:iCs w:val="0"/>
          <w:caps w:val="0"/>
          <w:color w:val="000000"/>
          <w:spacing w:val="0"/>
          <w:sz w:val="32"/>
          <w:szCs w:val="32"/>
          <w:shd w:val="clear" w:fill="FFFFFF"/>
        </w:rPr>
        <w:t>林业改革发展资金</w:t>
      </w:r>
      <w:r>
        <w:rPr>
          <w:rFonts w:hint="eastAsia" w:ascii="仿宋" w:hAnsi="仿宋" w:eastAsia="仿宋" w:cs="仿宋"/>
          <w:sz w:val="32"/>
          <w:szCs w:val="32"/>
          <w:lang w:eastAsia="zh-CN"/>
        </w:rPr>
        <w:t>项目绩效自评综述：根据年初设定的绩效目标，项目自评得分为</w:t>
      </w:r>
      <w:r>
        <w:rPr>
          <w:rFonts w:hint="eastAsia" w:ascii="仿宋" w:hAnsi="仿宋" w:eastAsia="仿宋" w:cs="仿宋"/>
          <w:sz w:val="32"/>
          <w:szCs w:val="32"/>
          <w:lang w:val="en-US"/>
        </w:rPr>
        <w:t>93</w:t>
      </w:r>
      <w:r>
        <w:rPr>
          <w:rFonts w:hint="eastAsia" w:ascii="仿宋" w:hAnsi="仿宋" w:eastAsia="仿宋" w:cs="仿宋"/>
          <w:sz w:val="32"/>
          <w:szCs w:val="32"/>
          <w:lang w:eastAsia="zh-CN"/>
        </w:rPr>
        <w:t>分。全年预算数为</w:t>
      </w:r>
      <w:r>
        <w:rPr>
          <w:rFonts w:hint="eastAsia" w:ascii="仿宋" w:hAnsi="仿宋" w:eastAsia="仿宋" w:cs="仿宋"/>
          <w:sz w:val="32"/>
          <w:szCs w:val="32"/>
          <w:lang w:val="en-US" w:eastAsia="zh-CN"/>
        </w:rPr>
        <w:t>84.08</w:t>
      </w:r>
      <w:r>
        <w:rPr>
          <w:rFonts w:hint="eastAsia" w:ascii="仿宋" w:hAnsi="仿宋" w:eastAsia="仿宋" w:cs="仿宋"/>
          <w:sz w:val="32"/>
          <w:szCs w:val="32"/>
          <w:lang w:eastAsia="zh-CN"/>
        </w:rPr>
        <w:t>万元，执行数为</w:t>
      </w:r>
      <w:r>
        <w:rPr>
          <w:rFonts w:hint="eastAsia" w:ascii="仿宋" w:hAnsi="仿宋" w:eastAsia="仿宋" w:cs="仿宋"/>
          <w:sz w:val="32"/>
          <w:szCs w:val="32"/>
          <w:lang w:val="en-US" w:eastAsia="zh-CN"/>
        </w:rPr>
        <w:t>75.34</w:t>
      </w:r>
      <w:r>
        <w:rPr>
          <w:rFonts w:hint="eastAsia" w:ascii="仿宋" w:hAnsi="仿宋" w:eastAsia="仿宋" w:cs="仿宋"/>
          <w:sz w:val="32"/>
          <w:szCs w:val="32"/>
          <w:lang w:eastAsia="zh-CN"/>
        </w:rPr>
        <w:t>万元，完成预算的</w:t>
      </w:r>
      <w:r>
        <w:rPr>
          <w:rFonts w:hint="eastAsia" w:ascii="仿宋" w:hAnsi="仿宋" w:eastAsia="仿宋" w:cs="仿宋"/>
          <w:sz w:val="32"/>
          <w:szCs w:val="32"/>
          <w:lang w:val="en-US" w:eastAsia="zh-CN"/>
        </w:rPr>
        <w:t>89.61</w:t>
      </w:r>
      <w:r>
        <w:rPr>
          <w:rFonts w:hint="eastAsia" w:ascii="仿宋" w:hAnsi="仿宋" w:eastAsia="仿宋" w:cs="仿宋"/>
          <w:sz w:val="32"/>
          <w:szCs w:val="32"/>
          <w:lang w:val="en-US"/>
        </w:rPr>
        <w:t>%</w:t>
      </w:r>
      <w:r>
        <w:rPr>
          <w:rFonts w:hint="eastAsia" w:ascii="仿宋" w:hAnsi="仿宋" w:eastAsia="仿宋" w:cs="仿宋"/>
          <w:sz w:val="32"/>
          <w:szCs w:val="32"/>
          <w:lang w:eastAsia="zh-CN"/>
        </w:rPr>
        <w:t>。项目绩效目标完成情况：一是本项目批复财政资金</w:t>
      </w:r>
      <w:r>
        <w:rPr>
          <w:rFonts w:hint="eastAsia" w:ascii="仿宋" w:hAnsi="仿宋" w:eastAsia="仿宋" w:cs="仿宋"/>
          <w:sz w:val="32"/>
          <w:szCs w:val="32"/>
          <w:lang w:val="en-US" w:eastAsia="zh-CN"/>
        </w:rPr>
        <w:t>84.081</w:t>
      </w:r>
      <w:r>
        <w:rPr>
          <w:rFonts w:hint="eastAsia" w:ascii="仿宋" w:hAnsi="仿宋" w:eastAsia="仿宋" w:cs="仿宋"/>
          <w:sz w:val="32"/>
          <w:szCs w:val="32"/>
          <w:lang w:eastAsia="zh-CN"/>
        </w:rPr>
        <w:t>万元，项目实施按照预算控制支出；二是制定的各项绩效指标产出达到预期。发现的主要问题及原因：一是绩效目标完成率</w:t>
      </w:r>
      <w:r>
        <w:rPr>
          <w:rFonts w:hint="eastAsia" w:ascii="仿宋" w:hAnsi="仿宋" w:eastAsia="仿宋" w:cs="仿宋"/>
          <w:sz w:val="32"/>
          <w:szCs w:val="32"/>
          <w:lang w:val="en-US" w:eastAsia="zh-CN"/>
        </w:rPr>
        <w:t>89.61</w:t>
      </w:r>
      <w:r>
        <w:rPr>
          <w:rFonts w:hint="eastAsia" w:ascii="仿宋" w:hAnsi="仿宋" w:eastAsia="仿宋" w:cs="仿宋"/>
          <w:sz w:val="32"/>
          <w:szCs w:val="32"/>
          <w:lang w:val="en-US"/>
        </w:rPr>
        <w:t>%</w:t>
      </w:r>
      <w:r>
        <w:rPr>
          <w:rFonts w:hint="eastAsia" w:ascii="仿宋" w:hAnsi="仿宋" w:eastAsia="仿宋" w:cs="仿宋"/>
          <w:sz w:val="32"/>
          <w:szCs w:val="32"/>
          <w:lang w:eastAsia="zh-CN"/>
        </w:rPr>
        <w:t>，未能按</w:t>
      </w:r>
      <w:r>
        <w:rPr>
          <w:rFonts w:hint="eastAsia" w:ascii="仿宋" w:hAnsi="仿宋" w:eastAsia="仿宋" w:cs="仿宋"/>
          <w:sz w:val="32"/>
          <w:szCs w:val="32"/>
          <w:lang w:val="en-US"/>
        </w:rPr>
        <w:t>100%</w:t>
      </w:r>
      <w:r>
        <w:rPr>
          <w:rFonts w:hint="eastAsia" w:ascii="仿宋" w:hAnsi="仿宋" w:eastAsia="仿宋" w:cs="仿宋"/>
          <w:sz w:val="32"/>
          <w:szCs w:val="32"/>
          <w:lang w:eastAsia="zh-CN"/>
        </w:rPr>
        <w:t>完成。下一步改进措施：进一步优化绩效目标，确保绩效目标完成</w:t>
      </w:r>
      <w:r>
        <w:rPr>
          <w:rFonts w:hint="eastAsia" w:ascii="仿宋" w:hAnsi="仿宋" w:eastAsia="仿宋" w:cs="仿宋"/>
          <w:sz w:val="32"/>
          <w:szCs w:val="32"/>
          <w:lang w:val="en-US"/>
        </w:rPr>
        <w:t>100%</w:t>
      </w:r>
      <w:r>
        <w:rPr>
          <w:rFonts w:hint="eastAsia" w:ascii="仿宋" w:hAnsi="仿宋" w:eastAsia="仿宋" w:cs="仿宋"/>
          <w:sz w:val="32"/>
          <w:szCs w:val="32"/>
          <w:lang w:eastAsia="zh-CN"/>
        </w:rPr>
        <w:t>。</w:t>
      </w:r>
    </w:p>
    <w:p w14:paraId="1BB9C3EA">
      <w:pPr>
        <w:spacing w:line="560" w:lineRule="exact"/>
        <w:ind w:left="0"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海南六连岭省级自然保护区</w:t>
      </w:r>
      <w:r>
        <w:rPr>
          <w:rFonts w:hint="eastAsia" w:ascii="仿宋" w:hAnsi="仿宋" w:eastAsia="仿宋" w:cs="仿宋"/>
          <w:i w:val="0"/>
          <w:iCs w:val="0"/>
          <w:caps w:val="0"/>
          <w:color w:val="000000"/>
          <w:spacing w:val="0"/>
          <w:sz w:val="32"/>
          <w:szCs w:val="32"/>
          <w:shd w:val="clear" w:fill="FFFFFF"/>
        </w:rPr>
        <w:t>生态保护与恢复</w:t>
      </w:r>
      <w:r>
        <w:rPr>
          <w:rFonts w:hint="eastAsia" w:ascii="仿宋" w:hAnsi="仿宋" w:eastAsia="仿宋" w:cs="仿宋"/>
          <w:sz w:val="32"/>
          <w:szCs w:val="32"/>
          <w:lang w:eastAsia="zh-CN"/>
        </w:rPr>
        <w:t>及项目绩效自评综述：根据年初设定的绩效目标，项目自评得分为</w:t>
      </w:r>
      <w:r>
        <w:rPr>
          <w:rFonts w:hint="eastAsia" w:ascii="仿宋" w:hAnsi="仿宋" w:eastAsia="仿宋" w:cs="仿宋"/>
          <w:sz w:val="32"/>
          <w:szCs w:val="32"/>
          <w:lang w:val="en-US"/>
        </w:rPr>
        <w:t>93</w:t>
      </w:r>
      <w:r>
        <w:rPr>
          <w:rFonts w:hint="eastAsia" w:ascii="仿宋" w:hAnsi="仿宋" w:eastAsia="仿宋" w:cs="仿宋"/>
          <w:sz w:val="32"/>
          <w:szCs w:val="32"/>
          <w:lang w:eastAsia="zh-CN"/>
        </w:rPr>
        <w:t>分。全年预算数为</w:t>
      </w:r>
      <w:r>
        <w:rPr>
          <w:rFonts w:hint="eastAsia" w:ascii="仿宋" w:hAnsi="仿宋" w:eastAsia="仿宋" w:cs="仿宋"/>
          <w:sz w:val="32"/>
          <w:szCs w:val="32"/>
          <w:lang w:val="en-US" w:eastAsia="zh-CN"/>
        </w:rPr>
        <w:t>24.3</w:t>
      </w:r>
      <w:r>
        <w:rPr>
          <w:rFonts w:hint="eastAsia" w:ascii="仿宋" w:hAnsi="仿宋" w:eastAsia="仿宋" w:cs="仿宋"/>
          <w:sz w:val="32"/>
          <w:szCs w:val="32"/>
          <w:lang w:eastAsia="zh-CN"/>
        </w:rPr>
        <w:t>万元，执行数为</w:t>
      </w:r>
      <w:r>
        <w:rPr>
          <w:rFonts w:hint="eastAsia" w:ascii="仿宋" w:hAnsi="仿宋" w:eastAsia="仿宋" w:cs="仿宋"/>
          <w:sz w:val="32"/>
          <w:szCs w:val="32"/>
          <w:lang w:val="en-US" w:eastAsia="zh-CN" w:bidi="ar"/>
        </w:rPr>
        <w:t>21.64</w:t>
      </w:r>
      <w:r>
        <w:rPr>
          <w:rFonts w:hint="eastAsia" w:ascii="仿宋" w:hAnsi="仿宋" w:eastAsia="仿宋" w:cs="仿宋"/>
          <w:sz w:val="32"/>
          <w:szCs w:val="32"/>
          <w:lang w:eastAsia="zh-CN" w:bidi="ar"/>
        </w:rPr>
        <w:t>万元</w:t>
      </w:r>
      <w:r>
        <w:rPr>
          <w:rFonts w:hint="eastAsia" w:ascii="仿宋" w:hAnsi="仿宋" w:eastAsia="仿宋" w:cs="仿宋"/>
          <w:sz w:val="32"/>
          <w:szCs w:val="32"/>
          <w:lang w:eastAsia="zh-CN"/>
        </w:rPr>
        <w:t>，完成预算的</w:t>
      </w:r>
      <w:r>
        <w:rPr>
          <w:rFonts w:hint="eastAsia" w:ascii="仿宋" w:hAnsi="仿宋" w:eastAsia="仿宋" w:cs="仿宋"/>
          <w:sz w:val="32"/>
          <w:szCs w:val="32"/>
          <w:lang w:val="en-US" w:eastAsia="zh-CN"/>
        </w:rPr>
        <w:t>89.05</w:t>
      </w:r>
      <w:r>
        <w:rPr>
          <w:rFonts w:hint="eastAsia" w:ascii="仿宋" w:hAnsi="仿宋" w:eastAsia="仿宋" w:cs="仿宋"/>
          <w:sz w:val="32"/>
          <w:szCs w:val="32"/>
          <w:lang w:val="en-US"/>
        </w:rPr>
        <w:t>%</w:t>
      </w:r>
      <w:r>
        <w:rPr>
          <w:rFonts w:hint="eastAsia" w:ascii="仿宋" w:hAnsi="仿宋" w:eastAsia="仿宋" w:cs="仿宋"/>
          <w:sz w:val="32"/>
          <w:szCs w:val="32"/>
          <w:lang w:eastAsia="zh-CN"/>
        </w:rPr>
        <w:t>。项目绩效目标完成情况：完成了六连岭自然保护区保护与恢复；</w:t>
      </w:r>
      <w:r>
        <w:rPr>
          <w:rFonts w:hint="eastAsia" w:ascii="仿宋" w:hAnsi="仿宋" w:eastAsia="仿宋" w:cs="仿宋"/>
          <w:sz w:val="32"/>
          <w:szCs w:val="32"/>
          <w:lang w:eastAsia="zh-CN" w:bidi="ar"/>
        </w:rPr>
        <w:t>本项目完成后规范了六连岭保护区的建设和管理水平，促进了保护区管护健康可持续发展。</w:t>
      </w:r>
    </w:p>
    <w:p w14:paraId="6241929A">
      <w:pPr>
        <w:ind w:left="0" w:firstLine="640" w:firstLineChars="200"/>
        <w:rPr>
          <w:rFonts w:hint="eastAsia" w:ascii="仿宋" w:hAnsi="仿宋" w:eastAsia="仿宋" w:cs="仿宋"/>
          <w:sz w:val="32"/>
          <w:szCs w:val="32"/>
          <w:lang w:val="en-US"/>
        </w:rPr>
      </w:pPr>
      <w:r>
        <w:rPr>
          <w:rFonts w:hint="eastAsia" w:ascii="仿宋" w:hAnsi="仿宋" w:eastAsia="仿宋" w:cs="仿宋"/>
          <w:sz w:val="32"/>
          <w:szCs w:val="32"/>
          <w:lang w:eastAsia="zh-CN"/>
        </w:rPr>
        <w:t>项目完成后生态管护区域生态环境得到明显改善，林地涵养水源、保持水土能力不断增强，自然灾害发生率和强度得到一定程度控制；实行生态效益补偿保障，调动了爱林护林的积极性，促进林区的发展；严格公益林管护，有效的保护了森林资源，提高了森林质量，森林资源的增长，生态功能的提升，生态效益补偿和公益林管护在其中发挥了重要作用。</w:t>
      </w:r>
    </w:p>
    <w:p w14:paraId="67AB64E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color w:val="000000"/>
          <w:sz w:val="32"/>
          <w:szCs w:val="32"/>
          <w:highlight w:val="none"/>
        </w:rPr>
      </w:pPr>
      <w:r>
        <w:rPr>
          <w:rFonts w:hint="eastAsia" w:ascii="楷体" w:hAnsi="楷体" w:eastAsia="楷体" w:cs="楷体"/>
          <w:b w:val="0"/>
          <w:bCs/>
          <w:color w:val="000000"/>
          <w:sz w:val="32"/>
          <w:szCs w:val="32"/>
          <w:highlight w:val="none"/>
          <w:lang w:eastAsia="zh-CN"/>
        </w:rPr>
        <w:t>（三）</w:t>
      </w:r>
      <w:r>
        <w:rPr>
          <w:rFonts w:hint="eastAsia" w:ascii="楷体" w:hAnsi="楷体" w:eastAsia="楷体" w:cs="楷体"/>
          <w:b w:val="0"/>
          <w:bCs/>
          <w:color w:val="000000"/>
          <w:sz w:val="32"/>
          <w:szCs w:val="32"/>
          <w:highlight w:val="none"/>
          <w:lang w:val="en-US"/>
        </w:rPr>
        <w:t>部门评价结果</w:t>
      </w:r>
      <w:r>
        <w:rPr>
          <w:rFonts w:hint="eastAsia" w:ascii="楷体" w:hAnsi="楷体" w:eastAsia="楷体" w:cs="楷体"/>
          <w:b w:val="0"/>
          <w:bCs/>
          <w:color w:val="000000"/>
          <w:sz w:val="32"/>
          <w:szCs w:val="32"/>
          <w:highlight w:val="none"/>
          <w:lang w:val="en-US" w:eastAsia="zh-CN"/>
        </w:rPr>
        <w:t>（预算部门填写，部门所属单位不需填写）</w:t>
      </w:r>
      <w:r>
        <w:rPr>
          <w:rFonts w:hint="eastAsia" w:ascii="楷体" w:hAnsi="楷体" w:eastAsia="楷体" w:cs="楷体"/>
          <w:b w:val="0"/>
          <w:bCs/>
          <w:color w:val="000000"/>
          <w:sz w:val="32"/>
          <w:szCs w:val="32"/>
          <w:highlight w:val="none"/>
          <w:u w:val="none"/>
        </w:rPr>
        <w:t>。</w:t>
      </w:r>
    </w:p>
    <w:p w14:paraId="3FEEB01B">
      <w:pPr>
        <w:spacing w:line="578" w:lineRule="exact"/>
        <w:ind w:left="0" w:firstLine="640" w:firstLineChars="200"/>
        <w:rPr>
          <w:rFonts w:hint="eastAsia" w:ascii="仿宋" w:hAnsi="仿宋" w:eastAsia="仿宋" w:cs="楷体"/>
          <w:bCs/>
          <w:sz w:val="32"/>
          <w:szCs w:val="32"/>
          <w:lang w:val="en-US"/>
        </w:rPr>
      </w:pPr>
      <w:r>
        <w:rPr>
          <w:rFonts w:hint="eastAsia" w:ascii="仿宋" w:hAnsi="仿宋" w:eastAsia="仿宋" w:cs="楷体"/>
          <w:bCs/>
          <w:sz w:val="32"/>
          <w:szCs w:val="32"/>
          <w:lang w:eastAsia="zh-CN"/>
        </w:rPr>
        <w:t>部门评价项目绩效评价结果：没有</w:t>
      </w:r>
    </w:p>
    <w:p w14:paraId="2D71331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color w:val="000000"/>
          <w:sz w:val="32"/>
          <w:szCs w:val="32"/>
          <w:highlight w:val="none"/>
        </w:rPr>
      </w:pPr>
      <w:r>
        <w:rPr>
          <w:rFonts w:hint="eastAsia" w:ascii="楷体" w:hAnsi="楷体" w:eastAsia="楷体" w:cs="楷体"/>
          <w:b w:val="0"/>
          <w:bCs/>
          <w:color w:val="000000"/>
          <w:sz w:val="32"/>
          <w:szCs w:val="32"/>
          <w:highlight w:val="none"/>
          <w:lang w:eastAsia="zh-CN"/>
        </w:rPr>
        <w:t>（四）财政评价结果</w:t>
      </w:r>
      <w:r>
        <w:rPr>
          <w:rFonts w:hint="eastAsia" w:ascii="楷体" w:hAnsi="楷体" w:eastAsia="楷体" w:cs="楷体"/>
          <w:b w:val="0"/>
          <w:bCs/>
          <w:color w:val="000000"/>
          <w:sz w:val="32"/>
          <w:szCs w:val="32"/>
          <w:highlight w:val="none"/>
        </w:rPr>
        <w:t>（如有）。</w:t>
      </w:r>
    </w:p>
    <w:p w14:paraId="4D79BE8E">
      <w:pPr>
        <w:spacing w:line="578" w:lineRule="exact"/>
        <w:rPr>
          <w:rFonts w:hint="eastAsia" w:ascii="仿宋" w:hAnsi="仿宋" w:eastAsia="仿宋" w:cs="楷体"/>
          <w:bCs/>
          <w:sz w:val="32"/>
          <w:szCs w:val="32"/>
          <w:lang w:val="en-US"/>
        </w:rPr>
      </w:pPr>
      <w:r>
        <w:rPr>
          <w:rFonts w:hint="eastAsia" w:ascii="仿宋" w:hAnsi="仿宋" w:eastAsia="仿宋" w:cs="楷体"/>
          <w:bCs/>
          <w:sz w:val="32"/>
          <w:szCs w:val="32"/>
          <w:lang w:eastAsia="zh-CN"/>
        </w:rPr>
        <w:t>财政评价项目绩效评价结果：没有</w:t>
      </w:r>
    </w:p>
    <w:p w14:paraId="1533EB0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十一、其他重要事项情况说明</w:t>
      </w:r>
    </w:p>
    <w:p w14:paraId="1BDB1E0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000000"/>
          <w:sz w:val="32"/>
          <w:szCs w:val="32"/>
          <w:highlight w:val="none"/>
        </w:rPr>
      </w:pPr>
      <w:bookmarkStart w:id="97" w:name="_Toc32639_WPSOffice_Level2"/>
      <w:bookmarkStart w:id="98" w:name="_Toc5978_WPSOffice_Level2"/>
      <w:bookmarkStart w:id="99" w:name="_Toc15565_WPSOffice_Level2"/>
      <w:bookmarkStart w:id="100" w:name="_Toc23598_WPSOffice_Level2"/>
      <w:bookmarkStart w:id="101" w:name="_Toc18325_WPSOffice_Level2"/>
      <w:bookmarkStart w:id="102" w:name="_Toc15262_WPSOffice_Level2"/>
      <w:r>
        <w:rPr>
          <w:rFonts w:hint="eastAsia" w:ascii="楷体" w:hAnsi="楷体" w:eastAsia="楷体" w:cs="楷体"/>
          <w:bCs/>
          <w:color w:val="000000"/>
          <w:sz w:val="32"/>
          <w:szCs w:val="32"/>
          <w:highlight w:val="none"/>
        </w:rPr>
        <w:t>（一）机关运行经费支出情况。</w:t>
      </w:r>
      <w:bookmarkEnd w:id="97"/>
      <w:bookmarkEnd w:id="98"/>
      <w:bookmarkEnd w:id="99"/>
      <w:bookmarkEnd w:id="100"/>
      <w:bookmarkEnd w:id="101"/>
      <w:bookmarkEnd w:id="102"/>
    </w:p>
    <w:p w14:paraId="6B5F64D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2022年度</w:t>
      </w:r>
      <w:r>
        <w:rPr>
          <w:rFonts w:hint="eastAsia" w:ascii="仿宋_GB2312" w:hAnsi="ˎ̥" w:eastAsia="仿宋_GB2312"/>
          <w:color w:val="000000"/>
          <w:sz w:val="32"/>
          <w:szCs w:val="32"/>
          <w:highlight w:val="none"/>
          <w:lang w:eastAsia="zh-CN"/>
        </w:rPr>
        <w:t>海南六连岭省级自然保护区管理站</w:t>
      </w:r>
      <w:r>
        <w:rPr>
          <w:rFonts w:hint="eastAsia" w:ascii="仿宋_GB2312" w:hAnsi="ˎ̥" w:eastAsia="仿宋_GB2312"/>
          <w:color w:val="000000"/>
          <w:sz w:val="32"/>
          <w:szCs w:val="32"/>
          <w:highlight w:val="none"/>
        </w:rPr>
        <w:t>机关运行经费</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w:t>
      </w:r>
    </w:p>
    <w:p w14:paraId="6439D31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lang w:val="en-US" w:eastAsia="zh-CN"/>
        </w:rPr>
      </w:pPr>
    </w:p>
    <w:p w14:paraId="10981C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000000"/>
          <w:sz w:val="32"/>
          <w:szCs w:val="32"/>
          <w:highlight w:val="none"/>
        </w:rPr>
      </w:pPr>
      <w:bookmarkStart w:id="103" w:name="_Toc3131_WPSOffice_Level2"/>
      <w:bookmarkStart w:id="104" w:name="_Toc30383_WPSOffice_Level2"/>
      <w:bookmarkStart w:id="105" w:name="_Toc32689_WPSOffice_Level2"/>
      <w:bookmarkStart w:id="106" w:name="_Toc23966_WPSOffice_Level2"/>
      <w:bookmarkStart w:id="107" w:name="_Toc13084_WPSOffice_Level2"/>
      <w:bookmarkStart w:id="108" w:name="_Toc25333_WPSOffice_Level2"/>
      <w:r>
        <w:rPr>
          <w:rFonts w:hint="eastAsia" w:ascii="楷体" w:hAnsi="楷体" w:eastAsia="楷体" w:cs="楷体"/>
          <w:bCs/>
          <w:color w:val="000000"/>
          <w:sz w:val="32"/>
          <w:szCs w:val="32"/>
          <w:highlight w:val="none"/>
        </w:rPr>
        <w:t>（二）政府采购支出情况。</w:t>
      </w:r>
      <w:bookmarkEnd w:id="103"/>
      <w:bookmarkEnd w:id="104"/>
      <w:bookmarkEnd w:id="105"/>
      <w:bookmarkEnd w:id="106"/>
      <w:bookmarkEnd w:id="107"/>
      <w:bookmarkEnd w:id="108"/>
    </w:p>
    <w:p w14:paraId="4BF155F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w:t>
      </w:r>
      <w:r>
        <w:rPr>
          <w:rFonts w:hint="eastAsia" w:ascii="仿宋_GB2312" w:hAnsi="ˎ̥" w:eastAsia="仿宋_GB2312"/>
          <w:color w:val="000000"/>
          <w:sz w:val="32"/>
          <w:szCs w:val="32"/>
          <w:highlight w:val="none"/>
          <w:lang w:eastAsia="zh-CN"/>
        </w:rPr>
        <w:t>海南六连岭省级自然保护区管理站</w:t>
      </w:r>
      <w:r>
        <w:rPr>
          <w:rFonts w:hint="eastAsia" w:ascii="仿宋_GB2312" w:hAnsi="ˎ̥" w:eastAsia="仿宋_GB2312"/>
          <w:color w:val="000000"/>
          <w:sz w:val="32"/>
          <w:szCs w:val="32"/>
          <w:highlight w:val="none"/>
        </w:rPr>
        <w:t>政府采购支出总额</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万元，其中：政府采购货物支出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万元、政府采购工程支出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万元、政府采购服务支出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万元。授予中小企业合同金额</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万元，占政府采购支出总额的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%，其中：授予小微企业合同金额</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仿宋_GB2312" w:eastAsia="仿宋_GB2312" w:cs="仿宋_GB2312"/>
          <w:color w:val="000000"/>
          <w:kern w:val="0"/>
          <w:sz w:val="32"/>
          <w:szCs w:val="32"/>
          <w:highlight w:val="none"/>
          <w:lang w:bidi="ar"/>
        </w:rPr>
        <w:t>授予中小企业合同金额</w:t>
      </w:r>
      <w:r>
        <w:rPr>
          <w:rFonts w:hint="eastAsia" w:ascii="仿宋_GB2312" w:hAnsi="仿宋_GB2312" w:eastAsia="仿宋_GB2312" w:cs="仿宋_GB2312"/>
          <w:color w:val="000000"/>
          <w:sz w:val="32"/>
          <w:szCs w:val="32"/>
          <w:highlight w:val="none"/>
        </w:rPr>
        <w:t>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14:paraId="720004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上述政府采购支出相关数字取自202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年度部门决算报表F03表《机构运行信息表》，授予中小企业和小微企业合同金额由各部门查阅本部门相关资料填写。）</w:t>
      </w:r>
    </w:p>
    <w:p w14:paraId="4CA34E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000000"/>
          <w:sz w:val="32"/>
          <w:szCs w:val="32"/>
          <w:highlight w:val="none"/>
        </w:rPr>
      </w:pPr>
      <w:bookmarkStart w:id="109" w:name="_Toc10902_WPSOffice_Level2"/>
      <w:bookmarkStart w:id="110" w:name="_Toc29584_WPSOffice_Level2"/>
      <w:bookmarkStart w:id="111" w:name="_Toc15129_WPSOffice_Level2"/>
      <w:bookmarkStart w:id="112" w:name="_Toc527_WPSOffice_Level2"/>
      <w:bookmarkStart w:id="113" w:name="_Toc6016_WPSOffice_Level2"/>
      <w:bookmarkStart w:id="114" w:name="_Toc19989_WPSOffice_Level2"/>
      <w:r>
        <w:rPr>
          <w:rFonts w:hint="eastAsia" w:ascii="楷体" w:hAnsi="楷体" w:eastAsia="楷体" w:cs="楷体"/>
          <w:bCs/>
          <w:color w:val="000000"/>
          <w:sz w:val="32"/>
          <w:szCs w:val="32"/>
          <w:highlight w:val="none"/>
        </w:rPr>
        <w:t>（三）国有资产占用情况。</w:t>
      </w:r>
      <w:bookmarkEnd w:id="109"/>
      <w:bookmarkEnd w:id="110"/>
      <w:bookmarkEnd w:id="111"/>
      <w:bookmarkEnd w:id="112"/>
      <w:bookmarkEnd w:id="113"/>
      <w:bookmarkEnd w:id="114"/>
    </w:p>
    <w:p w14:paraId="0D805E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bCs/>
          <w:color w:val="000000"/>
          <w:sz w:val="32"/>
          <w:szCs w:val="32"/>
          <w:highlight w:val="none"/>
        </w:rPr>
        <w:t>截至202</w:t>
      </w:r>
      <w:r>
        <w:rPr>
          <w:rFonts w:hint="eastAsia" w:ascii="仿宋_GB2312" w:hAnsi="ˎ̥" w:eastAsia="仿宋_GB2312"/>
          <w:bCs/>
          <w:color w:val="000000"/>
          <w:sz w:val="32"/>
          <w:szCs w:val="32"/>
          <w:highlight w:val="none"/>
          <w:lang w:val="en-US" w:eastAsia="zh-CN"/>
        </w:rPr>
        <w:t>3</w:t>
      </w:r>
      <w:r>
        <w:rPr>
          <w:rFonts w:hint="eastAsia" w:ascii="仿宋_GB2312" w:hAnsi="ˎ̥" w:eastAsia="仿宋_GB2312"/>
          <w:bCs/>
          <w:color w:val="000000"/>
          <w:sz w:val="32"/>
          <w:szCs w:val="32"/>
          <w:highlight w:val="none"/>
        </w:rPr>
        <w:t>年12月31日，本部门拥有</w:t>
      </w:r>
      <w:r>
        <w:rPr>
          <w:rFonts w:hint="eastAsia" w:ascii="仿宋_GB2312" w:hAnsi="ˎ̥" w:eastAsia="仿宋_GB2312"/>
          <w:color w:val="000000"/>
          <w:sz w:val="32"/>
          <w:szCs w:val="32"/>
          <w:highlight w:val="none"/>
        </w:rPr>
        <w:t>房屋面积</w:t>
      </w:r>
      <w:r>
        <w:rPr>
          <w:rFonts w:hint="eastAsia" w:ascii="仿宋_GB2312" w:hAnsi="ˎ̥" w:eastAsia="仿宋_GB2312"/>
          <w:color w:val="000000"/>
          <w:sz w:val="32"/>
          <w:szCs w:val="32"/>
          <w:highlight w:val="none"/>
          <w:lang w:val="en-US" w:eastAsia="zh-CN"/>
        </w:rPr>
        <w:t>1310</w:t>
      </w:r>
      <w:r>
        <w:rPr>
          <w:rFonts w:hint="eastAsia" w:ascii="仿宋_GB2312" w:hAnsi="ˎ̥" w:eastAsia="仿宋_GB2312"/>
          <w:color w:val="000000"/>
          <w:sz w:val="32"/>
          <w:szCs w:val="32"/>
          <w:highlight w:val="none"/>
        </w:rPr>
        <w:t>平方米，其中：办公用房</w:t>
      </w:r>
      <w:r>
        <w:rPr>
          <w:rFonts w:hint="eastAsia" w:ascii="仿宋_GB2312" w:hAnsi="ˎ̥" w:eastAsia="仿宋_GB2312"/>
          <w:color w:val="000000"/>
          <w:sz w:val="32"/>
          <w:szCs w:val="32"/>
          <w:highlight w:val="none"/>
          <w:lang w:val="en-US" w:eastAsia="zh-CN"/>
        </w:rPr>
        <w:t>480</w:t>
      </w:r>
      <w:r>
        <w:rPr>
          <w:rFonts w:hint="eastAsia" w:ascii="仿宋_GB2312" w:hAnsi="ˎ̥" w:eastAsia="仿宋_GB2312"/>
          <w:color w:val="000000"/>
          <w:sz w:val="32"/>
          <w:szCs w:val="32"/>
          <w:highlight w:val="none"/>
        </w:rPr>
        <w:t>平方米，业务用房</w:t>
      </w:r>
      <w:r>
        <w:rPr>
          <w:rFonts w:hint="eastAsia" w:ascii="仿宋_GB2312" w:hAnsi="ˎ̥" w:eastAsia="仿宋_GB2312"/>
          <w:color w:val="000000"/>
          <w:sz w:val="32"/>
          <w:szCs w:val="32"/>
          <w:highlight w:val="none"/>
          <w:lang w:val="en-US" w:eastAsia="zh-CN"/>
        </w:rPr>
        <w:t>830</w:t>
      </w:r>
      <w:r>
        <w:rPr>
          <w:rFonts w:hint="eastAsia" w:ascii="仿宋_GB2312" w:hAnsi="ˎ̥" w:eastAsia="仿宋_GB2312"/>
          <w:color w:val="000000"/>
          <w:sz w:val="32"/>
          <w:szCs w:val="32"/>
          <w:highlight w:val="none"/>
        </w:rPr>
        <w:t>平方米，其他（不含构筑物）</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平方米。</w:t>
      </w:r>
    </w:p>
    <w:p w14:paraId="736797A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本部门共有车辆</w:t>
      </w:r>
      <w:r>
        <w:rPr>
          <w:rFonts w:hint="eastAsia" w:ascii="仿宋_GB2312" w:hAnsi="ˎ̥" w:eastAsia="仿宋_GB2312"/>
          <w:color w:val="000000"/>
          <w:sz w:val="32"/>
          <w:szCs w:val="32"/>
          <w:highlight w:val="none"/>
          <w:lang w:val="en-US" w:eastAsia="zh-CN"/>
        </w:rPr>
        <w:t>1</w:t>
      </w:r>
      <w:r>
        <w:rPr>
          <w:rFonts w:hint="eastAsia" w:ascii="仿宋_GB2312" w:hAnsi="ˎ̥" w:eastAsia="仿宋_GB2312"/>
          <w:color w:val="000000"/>
          <w:sz w:val="32"/>
          <w:szCs w:val="32"/>
          <w:highlight w:val="none"/>
        </w:rPr>
        <w:t>辆，其中，副部（省）级及以上领导用车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辆、主要领导干部用车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辆、机要通信用车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辆、应急保障用车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辆、执法执勤用车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辆、特种专业技术用车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辆、离退休干部用车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辆、其他用车</w:t>
      </w:r>
      <w:r>
        <w:rPr>
          <w:rFonts w:hint="eastAsia" w:ascii="仿宋_GB2312" w:hAnsi="ˎ̥" w:eastAsia="仿宋_GB2312"/>
          <w:color w:val="000000"/>
          <w:sz w:val="32"/>
          <w:szCs w:val="32"/>
          <w:highlight w:val="none"/>
          <w:lang w:val="en-US" w:eastAsia="zh-CN"/>
        </w:rPr>
        <w:t>1</w:t>
      </w:r>
      <w:r>
        <w:rPr>
          <w:rFonts w:hint="eastAsia" w:ascii="仿宋_GB2312" w:hAnsi="ˎ̥" w:eastAsia="仿宋_GB2312"/>
          <w:color w:val="000000"/>
          <w:sz w:val="32"/>
          <w:szCs w:val="32"/>
          <w:highlight w:val="none"/>
        </w:rPr>
        <w:t>辆，其他用车主要是</w:t>
      </w:r>
      <w:r>
        <w:rPr>
          <w:rFonts w:hint="eastAsia" w:ascii="仿宋_GB2312" w:hAnsi="ˎ̥" w:eastAsia="仿宋_GB2312"/>
          <w:color w:val="000000"/>
          <w:sz w:val="32"/>
          <w:szCs w:val="32"/>
          <w:highlight w:val="none"/>
          <w:lang w:eastAsia="zh-CN"/>
        </w:rPr>
        <w:t>越野车用于森林防火巡护</w:t>
      </w:r>
      <w:r>
        <w:rPr>
          <w:rFonts w:hint="eastAsia" w:ascii="仿宋_GB2312" w:hAnsi="ˎ̥" w:eastAsia="仿宋_GB2312"/>
          <w:color w:val="000000"/>
          <w:sz w:val="32"/>
          <w:szCs w:val="32"/>
          <w:highlight w:val="none"/>
        </w:rPr>
        <w:t>。单价100万元（含）以上设备（不含车辆）</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台（套）。</w:t>
      </w:r>
    </w:p>
    <w:p w14:paraId="25F878E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年末在建工程</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w:t>
      </w:r>
    </w:p>
    <w:p w14:paraId="5694FE3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上述国有资产占用情况相关数字取自202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年度部门决算F01表《预算支出相关信息表》、F03表《机构运行信息表》。）</w:t>
      </w:r>
    </w:p>
    <w:p w14:paraId="0A21939A">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bookmarkStart w:id="115" w:name="_Toc17580_WPSOffice_Level1"/>
      <w:bookmarkStart w:id="116" w:name="_Toc11039_WPSOffice_Level1"/>
      <w:bookmarkStart w:id="117" w:name="_Toc4398_WPSOffice_Level1"/>
      <w:bookmarkStart w:id="118" w:name="_Toc15425_WPSOffice_Level1"/>
      <w:bookmarkStart w:id="119" w:name="_Toc8808_WPSOffice_Level1"/>
      <w:bookmarkStart w:id="120" w:name="_Toc8874_WPSOffice_Level1"/>
    </w:p>
    <w:p w14:paraId="21299B97">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r>
        <w:rPr>
          <w:rFonts w:hint="eastAsia" w:ascii="黑体" w:hAnsi="ˎ̥" w:eastAsia="黑体"/>
          <w:color w:val="000000"/>
          <w:sz w:val="32"/>
          <w:szCs w:val="32"/>
          <w:highlight w:val="none"/>
        </w:rPr>
        <w:t>第四部分  名词解释</w:t>
      </w:r>
      <w:bookmarkEnd w:id="115"/>
      <w:bookmarkEnd w:id="116"/>
      <w:bookmarkEnd w:id="117"/>
      <w:bookmarkEnd w:id="118"/>
      <w:bookmarkEnd w:id="119"/>
      <w:bookmarkEnd w:id="120"/>
    </w:p>
    <w:p w14:paraId="77DCDC54">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p>
    <w:p w14:paraId="52EA6C75">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财政拨款收入：指同级政府财政部门当年拨付的各类财政拨款。</w:t>
      </w:r>
    </w:p>
    <w:p w14:paraId="35B9B28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二、上级补助收入：指事业单位从主管部门和上级单位取得的非财政补助收入。</w:t>
      </w:r>
    </w:p>
    <w:p w14:paraId="0908C2F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三、事业收入：指事业单位开展专业业务活动及辅助活动取得的收入。</w:t>
      </w:r>
    </w:p>
    <w:p w14:paraId="5AD0792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四、经营收入：指事业单位在专业业务活动及其辅助活动之外开展非独立核算经营活动取得的收入。</w:t>
      </w:r>
    </w:p>
    <w:p w14:paraId="17E6643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五、附属单位上缴收入：指事业单位取得附属独立核算单位根据有关规定上缴的收入。</w:t>
      </w:r>
    </w:p>
    <w:p w14:paraId="4A9F94F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六、其他收入：指除上述“财政拨款收入”“事业收入”“上级补助收入”“经营收入”“附属单位上缴收入”等以外的收入。</w:t>
      </w:r>
    </w:p>
    <w:p w14:paraId="0263353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七、使用非财政拨款结余：指事业单位在当年的“财政拨款收入”“事业收入”“经营收入”“其他收入”等不足以安排当年支出的情况下，使用非同级财政拨款结余资金弥补本年度收支缺口。</w:t>
      </w:r>
    </w:p>
    <w:p w14:paraId="0BA94D0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八、年初结转和结余：指以前年度尚未完成、结转到本年按有关规定继续使用的资金，或项目已完成等产生的结余资金。</w:t>
      </w:r>
    </w:p>
    <w:p w14:paraId="3185746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九、结余分配：指事业单位缴纳企业所得税以及从非财政拨款结余或经营结余中提取各类结余的情况。</w:t>
      </w:r>
    </w:p>
    <w:p w14:paraId="4688857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十、年末结转和结余：指本年度或以前年度预算安排、因客观条件发生变化无法按原计划实施，需要延迟到以后年度按有关规定继续使用的资金（不包括事业单位非财政拨款结余和专用结余）。</w:t>
      </w:r>
    </w:p>
    <w:p w14:paraId="2661EF2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十一、基本支出：指为保障机构正常运转、完成日常工作任务而发生的人员支出和公用支出。</w:t>
      </w:r>
    </w:p>
    <w:p w14:paraId="37A8EB9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十二、项目支出：指在基本支出之外为完成特定行政任务和事业发展目标所发生的支出。</w:t>
      </w:r>
    </w:p>
    <w:p w14:paraId="45BE26D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十三、经营支出：指事业单位在专业业务活动及其辅助活动之外开展非独立核算经营活动发生的支出。</w:t>
      </w:r>
    </w:p>
    <w:p w14:paraId="0EFE9FE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14:paraId="7C07FA54">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14:paraId="14045B65">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支出功能分类的名词解释，各部门（单位）根据实际支出情况填列，可参阅财政部印发的《202</w:t>
      </w:r>
      <w:r>
        <w:rPr>
          <w:rFonts w:ascii="仿宋_GB2312" w:hAnsi="ˎ̥" w:eastAsia="仿宋_GB2312"/>
          <w:color w:val="000000"/>
          <w:sz w:val="32"/>
          <w:szCs w:val="32"/>
          <w:highlight w:val="none"/>
        </w:rPr>
        <w:t>2</w:t>
      </w:r>
      <w:r>
        <w:rPr>
          <w:rFonts w:hint="eastAsia" w:ascii="仿宋_GB2312" w:hAnsi="ˎ̥" w:eastAsia="仿宋_GB2312"/>
          <w:color w:val="000000"/>
          <w:sz w:val="32"/>
          <w:szCs w:val="32"/>
          <w:highlight w:val="none"/>
        </w:rPr>
        <w:t>年政府收支分类科目》）</w:t>
      </w:r>
    </w:p>
    <w:p w14:paraId="644D0F41">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w:t>
      </w:r>
    </w:p>
    <w:p w14:paraId="64953F3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highlight w:val="none"/>
          <w:lang w:eastAsia="zh-CN"/>
        </w:rPr>
      </w:pPr>
    </w:p>
    <w:p w14:paraId="6B014C7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eastAsia="zh-CN"/>
        </w:rPr>
        <w:t>附：海南六连岭省级自然保护区管理站</w:t>
      </w:r>
      <w:r>
        <w:rPr>
          <w:rFonts w:hint="eastAsia" w:ascii="仿宋" w:hAnsi="仿宋" w:eastAsia="仿宋" w:cs="仿宋"/>
          <w:color w:val="000000"/>
          <w:sz w:val="32"/>
          <w:szCs w:val="32"/>
          <w:highlight w:val="none"/>
          <w:lang w:val="en-US" w:eastAsia="zh-CN"/>
        </w:rPr>
        <w:t>2023年部门决算公开表</w:t>
      </w:r>
    </w:p>
    <w:p w14:paraId="3EE32D74">
      <w:pPr>
        <w:rPr>
          <w:rFonts w:hint="eastAsia" w:ascii="仿宋" w:hAnsi="仿宋" w:eastAsia="仿宋" w:cs="仿宋"/>
          <w:sz w:val="32"/>
          <w:szCs w:val="32"/>
        </w:rPr>
      </w:pPr>
    </w:p>
    <w:sectPr>
      <w:footerReference r:id="rId3" w:type="default"/>
      <w:footerReference r:id="rId4" w:type="even"/>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HP Simplified Hans"/>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rif">
    <w:altName w:val="ksdb"/>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ksdb">
    <w:panose1 w:val="02000500000000000000"/>
    <w:charset w:val="00"/>
    <w:family w:val="auto"/>
    <w:pitch w:val="default"/>
    <w:sig w:usb0="00000001" w:usb1="00000000" w:usb2="00000000" w:usb3="00000000" w:csb0="00000001" w:csb1="00000000"/>
  </w:font>
  <w:font w:name="HP Simplified Hans">
    <w:panose1 w:val="020B0500000000000000"/>
    <w:charset w:val="86"/>
    <w:family w:val="auto"/>
    <w:pitch w:val="default"/>
    <w:sig w:usb0="A00002BF" w:usb1="38CF7CFA" w:usb2="00000016" w:usb3="00000000" w:csb0="2004011D" w:csb1="41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8E2AD">
    <w:pPr>
      <w:pStyle w:val="2"/>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60C384EC">
                <w:pPr>
                  <w:pStyle w:val="2"/>
                  <w:rPr>
                    <w:rStyle w:val="6"/>
                  </w:rPr>
                </w:pPr>
                <w:r>
                  <w:rPr>
                    <w:rStyle w:val="6"/>
                  </w:rPr>
                  <w:t xml:space="preserve">— </w:t>
                </w:r>
                <w:r>
                  <w:rPr>
                    <w:rStyle w:val="6"/>
                  </w:rPr>
                  <w:fldChar w:fldCharType="begin"/>
                </w:r>
                <w:r>
                  <w:rPr>
                    <w:rStyle w:val="6"/>
                  </w:rPr>
                  <w:instrText xml:space="preserve"> PAGE  \* MERGEFORMAT </w:instrText>
                </w:r>
                <w:r>
                  <w:rPr>
                    <w:rStyle w:val="6"/>
                  </w:rPr>
                  <w:fldChar w:fldCharType="separate"/>
                </w:r>
                <w:r>
                  <w:rPr>
                    <w:rStyle w:val="6"/>
                  </w:rPr>
                  <w:t>1</w:t>
                </w:r>
                <w:r>
                  <w:rPr>
                    <w:rStyle w:val="6"/>
                  </w:rPr>
                  <w:fldChar w:fldCharType="end"/>
                </w:r>
                <w:r>
                  <w:rPr>
                    <w:rStyle w:val="6"/>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1DA2BB">
    <w:pPr>
      <w:pStyle w:val="2"/>
      <w:framePr w:wrap="around" w:vAnchor="text" w:hAnchor="margin" w:xAlign="center" w:y="1"/>
      <w:rPr>
        <w:rStyle w:val="6"/>
      </w:rPr>
    </w:pPr>
    <w:r>
      <w:fldChar w:fldCharType="begin"/>
    </w:r>
    <w:r>
      <w:rPr>
        <w:rStyle w:val="6"/>
      </w:rPr>
      <w:instrText xml:space="preserve">PAGE  </w:instrText>
    </w:r>
    <w:r>
      <w:fldChar w:fldCharType="separate"/>
    </w:r>
    <w:r>
      <w:fldChar w:fldCharType="end"/>
    </w:r>
  </w:p>
  <w:p w14:paraId="4B549782">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FC2DCC"/>
    <w:multiLevelType w:val="singleLevel"/>
    <w:tmpl w:val="AFFC2DCC"/>
    <w:lvl w:ilvl="0" w:tentative="0">
      <w:start w:val="1"/>
      <w:numFmt w:val="chineseCounting"/>
      <w:suff w:val="nothing"/>
      <w:lvlText w:val="%1、"/>
      <w:lvlJc w:val="left"/>
      <w:rPr>
        <w:rFonts w:hint="eastAsia"/>
      </w:rPr>
    </w:lvl>
  </w:abstractNum>
  <w:abstractNum w:abstractNumId="1">
    <w:nsid w:val="FB5FBC04"/>
    <w:multiLevelType w:val="multilevel"/>
    <w:tmpl w:val="FB5FBC04"/>
    <w:lvl w:ilvl="0" w:tentative="0">
      <w:start w:val="1"/>
      <w:numFmt w:val="japaneseCounting"/>
      <w:lvlText w:val="%1、"/>
      <w:lvlJc w:val="left"/>
      <w:pPr>
        <w:ind w:left="720" w:hanging="720"/>
      </w:pPr>
      <w:rPr>
        <w:lang w:val="en-U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FmODQ5M2E3NzY3YTlhMjllYmQzMDM0NGI1NWM5MGYifQ=="/>
  </w:docVars>
  <w:rsids>
    <w:rsidRoot w:val="00BE5EC6"/>
    <w:rsid w:val="003C1E7E"/>
    <w:rsid w:val="00BE5EC6"/>
    <w:rsid w:val="01566305"/>
    <w:rsid w:val="049A105B"/>
    <w:rsid w:val="097A7FD3"/>
    <w:rsid w:val="0C427AB6"/>
    <w:rsid w:val="0C50326D"/>
    <w:rsid w:val="0EF56BA2"/>
    <w:rsid w:val="11103EA5"/>
    <w:rsid w:val="14214A15"/>
    <w:rsid w:val="16445622"/>
    <w:rsid w:val="16685D83"/>
    <w:rsid w:val="1A297767"/>
    <w:rsid w:val="1C2A72A6"/>
    <w:rsid w:val="1D2917ED"/>
    <w:rsid w:val="22F16BE4"/>
    <w:rsid w:val="2B9606CC"/>
    <w:rsid w:val="2CC30F1A"/>
    <w:rsid w:val="35AB6044"/>
    <w:rsid w:val="37060C38"/>
    <w:rsid w:val="3C9A2CFD"/>
    <w:rsid w:val="41C37191"/>
    <w:rsid w:val="42B37AD7"/>
    <w:rsid w:val="42FC4A6B"/>
    <w:rsid w:val="4AD212D6"/>
    <w:rsid w:val="515C64C6"/>
    <w:rsid w:val="51FE13A6"/>
    <w:rsid w:val="54B16226"/>
    <w:rsid w:val="561440C9"/>
    <w:rsid w:val="5900186D"/>
    <w:rsid w:val="598219D2"/>
    <w:rsid w:val="59B5156F"/>
    <w:rsid w:val="5B1C0E75"/>
    <w:rsid w:val="5B7E082A"/>
    <w:rsid w:val="5BAE7FE7"/>
    <w:rsid w:val="5C53607D"/>
    <w:rsid w:val="5FE0567F"/>
    <w:rsid w:val="63FA7D9F"/>
    <w:rsid w:val="646031C3"/>
    <w:rsid w:val="668D2269"/>
    <w:rsid w:val="66C5503D"/>
    <w:rsid w:val="681E7759"/>
    <w:rsid w:val="6E0761AA"/>
    <w:rsid w:val="6EB45244"/>
    <w:rsid w:val="6F7F4719"/>
    <w:rsid w:val="6F873398"/>
    <w:rsid w:val="734A6FCB"/>
    <w:rsid w:val="76150E6E"/>
    <w:rsid w:val="782C0A12"/>
    <w:rsid w:val="7A782566"/>
    <w:rsid w:val="7CFC19FE"/>
    <w:rsid w:val="7EB70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semiHidden/>
    <w:unhideWhenUsed/>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styleId="6">
    <w:name w:val="page number"/>
    <w:qFormat/>
    <w:uiPriority w:val="0"/>
  </w:style>
  <w:style w:type="paragraph" w:customStyle="1" w:styleId="7">
    <w:name w:val="WPSOffice手动目录 1"/>
    <w:qFormat/>
    <w:uiPriority w:val="0"/>
    <w:rPr>
      <w:rFonts w:ascii="Times New Roman" w:hAnsi="Times New Roman" w:eastAsia="宋体" w:cs="Times New Roman"/>
      <w:lang w:val="en-US" w:eastAsia="zh-CN" w:bidi="ar-SA"/>
    </w:rPr>
  </w:style>
  <w:style w:type="paragraph" w:customStyle="1" w:styleId="8">
    <w:name w:val="WPSOffice手动目录 2"/>
    <w:qFormat/>
    <w:uiPriority w:val="0"/>
    <w:pPr>
      <w:ind w:leftChars="200"/>
    </w:pPr>
    <w:rPr>
      <w:rFonts w:ascii="Times New Roman" w:hAnsi="Times New Roman" w:eastAsia="宋体" w:cs="Times New Roman"/>
      <w:lang w:val="en-US" w:eastAsia="zh-CN" w:bidi="ar-SA"/>
    </w:rPr>
  </w:style>
  <w:style w:type="paragraph" w:customStyle="1" w:styleId="9">
    <w:name w:val="msolistparagraph"/>
    <w:basedOn w:val="1"/>
    <w:hidden/>
    <w:qFormat/>
    <w:uiPriority w:val="0"/>
    <w:pPr>
      <w:keepNext w:val="0"/>
      <w:keepLines w:val="0"/>
      <w:widowControl/>
      <w:suppressLineNumbers w:val="0"/>
      <w:spacing w:before="0" w:beforeAutospacing="0" w:after="0" w:afterAutospacing="0"/>
      <w:ind w:left="0" w:right="0" w:firstLine="420" w:firstLineChars="20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6906</Words>
  <Characters>7534</Characters>
  <Lines>1</Lines>
  <Paragraphs>1</Paragraphs>
  <TotalTime>33</TotalTime>
  <ScaleCrop>false</ScaleCrop>
  <LinksUpToDate>false</LinksUpToDate>
  <CharactersWithSpaces>7604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2023-09-18T07:21:00Z</dcterms:created>
  <dc:creator>Users</dc:creator>
  <cp:lastModifiedBy>光脚也怕穿鞋的</cp:lastModifiedBy>
  <dcterms:modified xsi:type="dcterms:W3CDTF">2024-09-13T04:05:43Z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24F870EBCC3F42F28B79FC912530E578_12</vt:lpwstr>
  </property>
</Properties>
</file>