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38FB86">
      <w:pPr>
        <w:spacing w:line="578" w:lineRule="exact"/>
        <w:jc w:val="center"/>
        <w:rPr>
          <w:rFonts w:hint="eastAsia" w:asciiTheme="majorEastAsia" w:hAnsiTheme="majorEastAsia" w:eastAsiaTheme="majorEastAsia" w:cstheme="majorEastAsia"/>
          <w:b/>
          <w:bCs/>
          <w:color w:val="auto"/>
          <w:sz w:val="44"/>
          <w:szCs w:val="44"/>
          <w:lang w:eastAsia="zh-CN"/>
        </w:rPr>
      </w:pPr>
      <w:r>
        <w:rPr>
          <w:rFonts w:hint="eastAsia" w:asciiTheme="majorEastAsia" w:hAnsiTheme="majorEastAsia" w:eastAsiaTheme="majorEastAsia" w:cstheme="majorEastAsia"/>
          <w:b/>
          <w:bCs/>
          <w:color w:val="auto"/>
          <w:sz w:val="44"/>
          <w:szCs w:val="44"/>
          <w:lang w:eastAsia="zh-CN"/>
        </w:rPr>
        <w:t>海南热带雨林国家公园管理局毛瑞分局</w:t>
      </w:r>
    </w:p>
    <w:p w14:paraId="5D9A4597">
      <w:pPr>
        <w:spacing w:line="578" w:lineRule="exact"/>
        <w:jc w:val="center"/>
        <w:rPr>
          <w:rFonts w:hint="eastAsia" w:asciiTheme="majorEastAsia" w:hAnsiTheme="majorEastAsia" w:eastAsiaTheme="majorEastAsia" w:cstheme="majorEastAsia"/>
          <w:b/>
          <w:bCs/>
          <w:color w:val="auto"/>
          <w:sz w:val="44"/>
          <w:szCs w:val="44"/>
        </w:rPr>
      </w:pPr>
      <w:r>
        <w:rPr>
          <w:rFonts w:hint="eastAsia" w:asciiTheme="majorEastAsia" w:hAnsiTheme="majorEastAsia" w:eastAsiaTheme="majorEastAsia" w:cstheme="majorEastAsia"/>
          <w:b/>
          <w:bCs/>
          <w:color w:val="auto"/>
          <w:sz w:val="44"/>
          <w:szCs w:val="44"/>
        </w:rPr>
        <w:t>2024年度部门决算公开报告</w:t>
      </w:r>
    </w:p>
    <w:p w14:paraId="1050C329">
      <w:pPr>
        <w:spacing w:line="578" w:lineRule="exact"/>
        <w:jc w:val="center"/>
        <w:rPr>
          <w:rFonts w:hint="eastAsia" w:ascii="黑体" w:hAnsi="ˎ̥" w:eastAsia="黑体"/>
          <w:b/>
          <w:color w:val="auto"/>
          <w:sz w:val="32"/>
          <w:szCs w:val="32"/>
        </w:rPr>
      </w:pPr>
    </w:p>
    <w:p w14:paraId="73A3BB87">
      <w:pPr>
        <w:spacing w:line="578" w:lineRule="exact"/>
        <w:jc w:val="center"/>
        <w:rPr>
          <w:rFonts w:hint="eastAsia" w:ascii="黑体" w:hAnsi="黑体" w:eastAsia="黑体" w:cs="黑体"/>
          <w:color w:val="auto"/>
          <w:sz w:val="44"/>
          <w:szCs w:val="44"/>
        </w:rPr>
      </w:pPr>
      <w:bookmarkStart w:id="0" w:name="_Toc11440_WPSOffice_Type2"/>
      <w:r>
        <w:rPr>
          <w:rFonts w:hint="eastAsia" w:ascii="黑体" w:hAnsi="黑体" w:eastAsia="黑体" w:cs="黑体"/>
          <w:color w:val="auto"/>
          <w:sz w:val="44"/>
          <w:szCs w:val="44"/>
        </w:rPr>
        <w:t>目  录</w:t>
      </w:r>
    </w:p>
    <w:p w14:paraId="4DA776B6">
      <w:pPr>
        <w:pStyle w:val="16"/>
        <w:tabs>
          <w:tab w:val="right" w:leader="dot" w:pos="8306"/>
        </w:tabs>
        <w:spacing w:line="578" w:lineRule="exact"/>
        <w:rPr>
          <w:rFonts w:hint="eastAsia"/>
          <w:color w:val="auto"/>
          <w:sz w:val="32"/>
          <w:szCs w:val="32"/>
        </w:rPr>
      </w:pPr>
      <w:r>
        <w:rPr>
          <w:color w:val="auto"/>
          <w:sz w:val="32"/>
          <w:szCs w:val="32"/>
        </w:rPr>
        <w:fldChar w:fldCharType="begin"/>
      </w:r>
      <w:r>
        <w:rPr>
          <w:color w:val="auto"/>
          <w:sz w:val="32"/>
          <w:szCs w:val="32"/>
        </w:rPr>
        <w:instrText xml:space="preserve"> HYPERLINK \l _Toc1704_WPSOffice_Level1 </w:instrText>
      </w:r>
      <w:r>
        <w:rPr>
          <w:color w:val="auto"/>
          <w:sz w:val="32"/>
          <w:szCs w:val="32"/>
        </w:rPr>
        <w:fldChar w:fldCharType="separate"/>
      </w:r>
      <w:r>
        <w:rPr>
          <w:rFonts w:hint="eastAsia" w:ascii="黑体" w:hAnsi="ˎ̥" w:eastAsia="黑体"/>
          <w:color w:val="auto"/>
          <w:sz w:val="32"/>
          <w:szCs w:val="32"/>
        </w:rPr>
        <w:t>第一部分 基本情况</w:t>
      </w:r>
      <w:r>
        <w:rPr>
          <w:color w:val="auto"/>
          <w:sz w:val="32"/>
          <w:szCs w:val="32"/>
        </w:rPr>
        <w:tab/>
      </w:r>
      <w:r>
        <w:rPr>
          <w:color w:val="auto"/>
          <w:sz w:val="32"/>
          <w:szCs w:val="32"/>
        </w:rPr>
        <w:fldChar w:fldCharType="end"/>
      </w:r>
      <w:r>
        <w:rPr>
          <w:rFonts w:hint="eastAsia"/>
          <w:color w:val="auto"/>
          <w:sz w:val="32"/>
          <w:szCs w:val="32"/>
        </w:rPr>
        <w:t>2</w:t>
      </w:r>
    </w:p>
    <w:p w14:paraId="052DBD7F">
      <w:pPr>
        <w:pStyle w:val="17"/>
        <w:tabs>
          <w:tab w:val="right" w:leader="dot" w:pos="8306"/>
        </w:tabs>
        <w:spacing w:line="578" w:lineRule="exact"/>
        <w:ind w:leftChars="0"/>
        <w:rPr>
          <w:rFonts w:hint="eastAsia" w:ascii="仿宋" w:hAnsi="仿宋" w:eastAsia="仿宋" w:cs="仿宋"/>
          <w:color w:val="auto"/>
          <w:sz w:val="32"/>
          <w:szCs w:val="32"/>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_Toc20274_WPSOffice_Level2 </w:instrText>
      </w:r>
      <w:r>
        <w:rPr>
          <w:rFonts w:hint="eastAsia" w:ascii="仿宋" w:hAnsi="仿宋" w:eastAsia="仿宋" w:cs="仿宋"/>
          <w:color w:val="auto"/>
          <w:sz w:val="32"/>
          <w:szCs w:val="32"/>
        </w:rPr>
        <w:fldChar w:fldCharType="separate"/>
      </w:r>
      <w:r>
        <w:rPr>
          <w:rFonts w:hint="eastAsia" w:ascii="仿宋" w:hAnsi="仿宋" w:eastAsia="仿宋" w:cs="仿宋"/>
          <w:color w:val="auto"/>
          <w:sz w:val="32"/>
          <w:szCs w:val="32"/>
        </w:rPr>
        <w:t>一、部门职责</w:t>
      </w:r>
      <w:r>
        <w:rPr>
          <w:rFonts w:hint="eastAsia" w:ascii="仿宋" w:hAnsi="仿宋" w:eastAsia="仿宋" w:cs="仿宋"/>
          <w:color w:val="auto"/>
          <w:sz w:val="32"/>
          <w:szCs w:val="32"/>
        </w:rPr>
        <w:tab/>
      </w:r>
      <w:r>
        <w:rPr>
          <w:rFonts w:hint="eastAsia" w:ascii="仿宋" w:hAnsi="仿宋" w:eastAsia="仿宋" w:cs="仿宋"/>
          <w:color w:val="auto"/>
          <w:sz w:val="32"/>
          <w:szCs w:val="32"/>
        </w:rPr>
        <w:fldChar w:fldCharType="end"/>
      </w:r>
      <w:r>
        <w:rPr>
          <w:rFonts w:hint="eastAsia" w:ascii="仿宋" w:hAnsi="仿宋" w:eastAsia="仿宋" w:cs="仿宋"/>
          <w:color w:val="auto"/>
          <w:sz w:val="32"/>
          <w:szCs w:val="32"/>
        </w:rPr>
        <w:t>2</w:t>
      </w:r>
    </w:p>
    <w:p w14:paraId="7DCAF67A">
      <w:pPr>
        <w:pStyle w:val="17"/>
        <w:tabs>
          <w:tab w:val="right" w:leader="dot" w:pos="8306"/>
        </w:tabs>
        <w:spacing w:line="578" w:lineRule="exact"/>
        <w:ind w:leftChars="0"/>
        <w:rPr>
          <w:rFonts w:hint="eastAsia" w:ascii="仿宋" w:hAnsi="仿宋" w:eastAsia="仿宋" w:cs="仿宋"/>
          <w:color w:val="auto"/>
          <w:sz w:val="32"/>
          <w:szCs w:val="32"/>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_Toc4833_WPSOffice_Level2 </w:instrText>
      </w:r>
      <w:r>
        <w:rPr>
          <w:rFonts w:hint="eastAsia" w:ascii="仿宋" w:hAnsi="仿宋" w:eastAsia="仿宋" w:cs="仿宋"/>
          <w:color w:val="auto"/>
          <w:sz w:val="32"/>
          <w:szCs w:val="32"/>
        </w:rPr>
        <w:fldChar w:fldCharType="separate"/>
      </w:r>
      <w:r>
        <w:rPr>
          <w:rFonts w:hint="eastAsia" w:ascii="仿宋" w:hAnsi="仿宋" w:eastAsia="仿宋" w:cs="仿宋"/>
          <w:color w:val="auto"/>
          <w:sz w:val="32"/>
          <w:szCs w:val="32"/>
        </w:rPr>
        <w:t>二、机构设置</w:t>
      </w:r>
      <w:r>
        <w:rPr>
          <w:rFonts w:hint="eastAsia" w:ascii="仿宋" w:hAnsi="仿宋" w:eastAsia="仿宋" w:cs="仿宋"/>
          <w:color w:val="auto"/>
          <w:sz w:val="32"/>
          <w:szCs w:val="32"/>
        </w:rPr>
        <w:tab/>
      </w:r>
      <w:r>
        <w:rPr>
          <w:rFonts w:hint="eastAsia" w:ascii="仿宋" w:hAnsi="仿宋" w:eastAsia="仿宋" w:cs="仿宋"/>
          <w:color w:val="auto"/>
          <w:sz w:val="32"/>
          <w:szCs w:val="32"/>
        </w:rPr>
        <w:fldChar w:fldCharType="end"/>
      </w:r>
      <w:r>
        <w:rPr>
          <w:rFonts w:hint="eastAsia" w:ascii="仿宋" w:hAnsi="仿宋" w:eastAsia="仿宋" w:cs="仿宋"/>
          <w:color w:val="auto"/>
          <w:sz w:val="32"/>
          <w:szCs w:val="32"/>
        </w:rPr>
        <w:t>2</w:t>
      </w:r>
    </w:p>
    <w:p w14:paraId="27B84870">
      <w:pPr>
        <w:pStyle w:val="16"/>
        <w:tabs>
          <w:tab w:val="right" w:leader="dot" w:pos="8306"/>
        </w:tabs>
        <w:spacing w:line="578" w:lineRule="exact"/>
        <w:rPr>
          <w:rFonts w:hint="eastAsia"/>
          <w:color w:val="auto"/>
          <w:sz w:val="32"/>
          <w:szCs w:val="32"/>
        </w:rPr>
      </w:pPr>
      <w:r>
        <w:rPr>
          <w:color w:val="auto"/>
          <w:sz w:val="32"/>
          <w:szCs w:val="32"/>
        </w:rPr>
        <w:fldChar w:fldCharType="begin"/>
      </w:r>
      <w:r>
        <w:rPr>
          <w:color w:val="auto"/>
          <w:sz w:val="32"/>
          <w:szCs w:val="32"/>
        </w:rPr>
        <w:instrText xml:space="preserve"> HYPERLINK \l _Toc28253_WPSOffice_Level1 </w:instrText>
      </w:r>
      <w:r>
        <w:rPr>
          <w:color w:val="auto"/>
          <w:sz w:val="32"/>
          <w:szCs w:val="32"/>
        </w:rPr>
        <w:fldChar w:fldCharType="separate"/>
      </w:r>
      <w:r>
        <w:rPr>
          <w:rFonts w:hint="eastAsia" w:ascii="黑体" w:hAnsi="ˎ̥" w:eastAsia="黑体"/>
          <w:color w:val="auto"/>
          <w:sz w:val="32"/>
          <w:szCs w:val="32"/>
        </w:rPr>
        <w:t xml:space="preserve">第二部分  </w:t>
      </w:r>
      <w:r>
        <w:rPr>
          <w:rFonts w:hint="default" w:ascii="黑体" w:hAnsi="ˎ̥" w:eastAsia="黑体"/>
          <w:color w:val="auto"/>
          <w:sz w:val="32"/>
          <w:szCs w:val="32"/>
          <w:lang w:val="en-US"/>
        </w:rPr>
        <w:t>2024</w:t>
      </w:r>
      <w:r>
        <w:rPr>
          <w:rFonts w:hint="eastAsia" w:ascii="黑体" w:hAnsi="ˎ̥" w:eastAsia="黑体"/>
          <w:color w:val="auto"/>
          <w:sz w:val="32"/>
          <w:szCs w:val="32"/>
        </w:rPr>
        <w:t>年度部门决算公开表</w:t>
      </w:r>
      <w:r>
        <w:rPr>
          <w:color w:val="auto"/>
          <w:sz w:val="32"/>
          <w:szCs w:val="32"/>
        </w:rPr>
        <w:tab/>
      </w:r>
      <w:r>
        <w:rPr>
          <w:color w:val="auto"/>
          <w:sz w:val="32"/>
          <w:szCs w:val="32"/>
        </w:rPr>
        <w:fldChar w:fldCharType="end"/>
      </w:r>
      <w:r>
        <w:rPr>
          <w:rFonts w:hint="eastAsia"/>
          <w:color w:val="auto"/>
          <w:sz w:val="32"/>
          <w:szCs w:val="32"/>
        </w:rPr>
        <w:t>2</w:t>
      </w:r>
    </w:p>
    <w:p w14:paraId="01474E71">
      <w:pPr>
        <w:pStyle w:val="16"/>
        <w:tabs>
          <w:tab w:val="right" w:leader="dot" w:pos="8306"/>
        </w:tabs>
        <w:spacing w:line="578" w:lineRule="exact"/>
        <w:rPr>
          <w:rFonts w:hint="eastAsia"/>
          <w:color w:val="auto"/>
          <w:sz w:val="32"/>
          <w:szCs w:val="32"/>
        </w:rPr>
      </w:pPr>
      <w:r>
        <w:rPr>
          <w:color w:val="auto"/>
          <w:sz w:val="32"/>
          <w:szCs w:val="32"/>
        </w:rPr>
        <w:fldChar w:fldCharType="begin"/>
      </w:r>
      <w:r>
        <w:rPr>
          <w:color w:val="auto"/>
          <w:sz w:val="32"/>
          <w:szCs w:val="32"/>
        </w:rPr>
        <w:instrText xml:space="preserve"> HYPERLINK \l _Toc27590_WPSOffice_Level1 </w:instrText>
      </w:r>
      <w:r>
        <w:rPr>
          <w:color w:val="auto"/>
          <w:sz w:val="32"/>
          <w:szCs w:val="32"/>
        </w:rPr>
        <w:fldChar w:fldCharType="separate"/>
      </w:r>
      <w:r>
        <w:rPr>
          <w:rFonts w:hint="eastAsia" w:ascii="黑体" w:hAnsi="黑体" w:eastAsia="黑体" w:cs="黑体"/>
          <w:color w:val="auto"/>
          <w:sz w:val="32"/>
          <w:szCs w:val="32"/>
        </w:rPr>
        <w:t>第三部分</w:t>
      </w:r>
      <w:r>
        <w:rPr>
          <w:rFonts w:hint="eastAsia"/>
          <w:color w:val="auto"/>
          <w:sz w:val="32"/>
          <w:szCs w:val="32"/>
        </w:rPr>
        <w:t xml:space="preserve">  </w:t>
      </w:r>
      <w:r>
        <w:rPr>
          <w:rFonts w:hint="default" w:ascii="黑体" w:hAnsi="ˎ̥" w:eastAsia="黑体"/>
          <w:color w:val="auto"/>
          <w:sz w:val="32"/>
          <w:szCs w:val="32"/>
          <w:lang w:val="en-US"/>
        </w:rPr>
        <w:t>2024</w:t>
      </w:r>
      <w:r>
        <w:rPr>
          <w:rFonts w:hint="eastAsia" w:ascii="黑体" w:hAnsi="ˎ̥" w:eastAsia="黑体"/>
          <w:color w:val="auto"/>
          <w:sz w:val="32"/>
          <w:szCs w:val="32"/>
        </w:rPr>
        <w:t>年度部门决算情况说明</w:t>
      </w:r>
      <w:r>
        <w:rPr>
          <w:color w:val="auto"/>
          <w:sz w:val="32"/>
          <w:szCs w:val="32"/>
        </w:rPr>
        <w:tab/>
      </w:r>
      <w:r>
        <w:rPr>
          <w:color w:val="auto"/>
          <w:sz w:val="32"/>
          <w:szCs w:val="32"/>
        </w:rPr>
        <w:fldChar w:fldCharType="end"/>
      </w:r>
      <w:r>
        <w:rPr>
          <w:rFonts w:hint="eastAsia"/>
          <w:color w:val="auto"/>
          <w:sz w:val="32"/>
          <w:szCs w:val="32"/>
        </w:rPr>
        <w:t>3</w:t>
      </w:r>
    </w:p>
    <w:p w14:paraId="43458A3D">
      <w:pPr>
        <w:pStyle w:val="17"/>
        <w:tabs>
          <w:tab w:val="right" w:leader="dot" w:pos="8306"/>
        </w:tabs>
        <w:spacing w:line="578" w:lineRule="exact"/>
        <w:ind w:leftChars="0"/>
        <w:rPr>
          <w:rFonts w:hint="eastAsia" w:ascii="仿宋" w:hAnsi="仿宋" w:eastAsia="仿宋" w:cs="仿宋"/>
          <w:color w:val="auto"/>
          <w:sz w:val="32"/>
          <w:szCs w:val="32"/>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_Toc21737_WPSOffice_Level2 </w:instrText>
      </w:r>
      <w:r>
        <w:rPr>
          <w:rFonts w:hint="eastAsia" w:ascii="仿宋" w:hAnsi="仿宋" w:eastAsia="仿宋" w:cs="仿宋"/>
          <w:color w:val="auto"/>
          <w:sz w:val="32"/>
          <w:szCs w:val="32"/>
        </w:rPr>
        <w:fldChar w:fldCharType="separate"/>
      </w:r>
      <w:r>
        <w:rPr>
          <w:rFonts w:hint="eastAsia" w:ascii="仿宋" w:hAnsi="仿宋" w:eastAsia="仿宋" w:cs="仿宋"/>
          <w:bCs/>
          <w:color w:val="auto"/>
          <w:sz w:val="32"/>
          <w:szCs w:val="32"/>
        </w:rPr>
        <w:t>一、收入支出总体情况说明</w:t>
      </w:r>
      <w:r>
        <w:rPr>
          <w:rFonts w:hint="eastAsia" w:ascii="仿宋" w:hAnsi="仿宋" w:eastAsia="仿宋" w:cs="仿宋"/>
          <w:color w:val="auto"/>
          <w:sz w:val="32"/>
          <w:szCs w:val="32"/>
        </w:rPr>
        <w:tab/>
      </w:r>
      <w:r>
        <w:rPr>
          <w:rFonts w:hint="eastAsia" w:ascii="仿宋" w:hAnsi="仿宋" w:eastAsia="仿宋" w:cs="仿宋"/>
          <w:color w:val="auto"/>
          <w:sz w:val="32"/>
          <w:szCs w:val="32"/>
        </w:rPr>
        <w:fldChar w:fldCharType="end"/>
      </w:r>
      <w:r>
        <w:rPr>
          <w:rFonts w:hint="eastAsia" w:ascii="仿宋" w:hAnsi="仿宋" w:eastAsia="仿宋" w:cs="仿宋"/>
          <w:color w:val="auto"/>
          <w:sz w:val="32"/>
          <w:szCs w:val="32"/>
        </w:rPr>
        <w:t>3</w:t>
      </w:r>
    </w:p>
    <w:p w14:paraId="708EA7EE">
      <w:pPr>
        <w:pStyle w:val="17"/>
        <w:tabs>
          <w:tab w:val="right" w:leader="dot" w:pos="8306"/>
        </w:tabs>
        <w:spacing w:line="578" w:lineRule="exact"/>
        <w:ind w:leftChars="0"/>
        <w:rPr>
          <w:rFonts w:hint="eastAsia" w:ascii="仿宋" w:hAnsi="仿宋" w:eastAsia="仿宋" w:cs="仿宋"/>
          <w:color w:val="auto"/>
          <w:sz w:val="32"/>
          <w:szCs w:val="32"/>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_Toc19535_WPSOffice_Level2 </w:instrText>
      </w:r>
      <w:r>
        <w:rPr>
          <w:rFonts w:hint="eastAsia" w:ascii="仿宋" w:hAnsi="仿宋" w:eastAsia="仿宋" w:cs="仿宋"/>
          <w:color w:val="auto"/>
          <w:sz w:val="32"/>
          <w:szCs w:val="32"/>
        </w:rPr>
        <w:fldChar w:fldCharType="separate"/>
      </w:r>
      <w:r>
        <w:rPr>
          <w:rFonts w:hint="eastAsia" w:ascii="仿宋" w:hAnsi="仿宋" w:eastAsia="仿宋" w:cs="仿宋"/>
          <w:bCs/>
          <w:color w:val="auto"/>
          <w:sz w:val="32"/>
          <w:szCs w:val="32"/>
        </w:rPr>
        <w:t>二、收入决算情况说明</w:t>
      </w:r>
      <w:r>
        <w:rPr>
          <w:rFonts w:hint="eastAsia" w:ascii="仿宋" w:hAnsi="仿宋" w:eastAsia="仿宋" w:cs="仿宋"/>
          <w:color w:val="auto"/>
          <w:sz w:val="32"/>
          <w:szCs w:val="32"/>
        </w:rPr>
        <w:tab/>
      </w:r>
      <w:r>
        <w:rPr>
          <w:rFonts w:hint="eastAsia" w:ascii="仿宋" w:hAnsi="仿宋" w:eastAsia="仿宋" w:cs="仿宋"/>
          <w:color w:val="auto"/>
          <w:sz w:val="32"/>
          <w:szCs w:val="32"/>
        </w:rPr>
        <w:fldChar w:fldCharType="end"/>
      </w:r>
      <w:r>
        <w:rPr>
          <w:rFonts w:hint="eastAsia" w:ascii="仿宋" w:hAnsi="仿宋" w:eastAsia="仿宋" w:cs="仿宋"/>
          <w:color w:val="auto"/>
          <w:sz w:val="32"/>
          <w:szCs w:val="32"/>
        </w:rPr>
        <w:t>4</w:t>
      </w:r>
    </w:p>
    <w:p w14:paraId="49B38B0F">
      <w:pPr>
        <w:pStyle w:val="17"/>
        <w:tabs>
          <w:tab w:val="right" w:leader="dot" w:pos="8306"/>
        </w:tabs>
        <w:spacing w:line="578" w:lineRule="exact"/>
        <w:ind w:leftChars="0"/>
        <w:rPr>
          <w:rFonts w:hint="eastAsia" w:ascii="仿宋" w:hAnsi="仿宋" w:eastAsia="仿宋" w:cs="仿宋"/>
          <w:color w:val="auto"/>
          <w:sz w:val="32"/>
          <w:szCs w:val="32"/>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_Toc19535_WPSOffice_Level2 </w:instrText>
      </w:r>
      <w:r>
        <w:rPr>
          <w:rFonts w:hint="eastAsia" w:ascii="仿宋" w:hAnsi="仿宋" w:eastAsia="仿宋" w:cs="仿宋"/>
          <w:color w:val="auto"/>
          <w:sz w:val="32"/>
          <w:szCs w:val="32"/>
        </w:rPr>
        <w:fldChar w:fldCharType="separate"/>
      </w:r>
      <w:r>
        <w:rPr>
          <w:rFonts w:hint="eastAsia" w:ascii="仿宋" w:hAnsi="仿宋" w:eastAsia="仿宋" w:cs="仿宋"/>
          <w:bCs/>
          <w:color w:val="auto"/>
          <w:sz w:val="32"/>
          <w:szCs w:val="32"/>
        </w:rPr>
        <w:t>三、支出决算情况说明</w:t>
      </w:r>
      <w:r>
        <w:rPr>
          <w:rFonts w:hint="eastAsia" w:ascii="仿宋" w:hAnsi="仿宋" w:eastAsia="仿宋" w:cs="仿宋"/>
          <w:color w:val="auto"/>
          <w:sz w:val="32"/>
          <w:szCs w:val="32"/>
        </w:rPr>
        <w:tab/>
      </w:r>
      <w:r>
        <w:rPr>
          <w:rFonts w:hint="eastAsia" w:ascii="仿宋" w:hAnsi="仿宋" w:eastAsia="仿宋" w:cs="仿宋"/>
          <w:color w:val="auto"/>
          <w:sz w:val="32"/>
          <w:szCs w:val="32"/>
        </w:rPr>
        <w:fldChar w:fldCharType="end"/>
      </w:r>
      <w:r>
        <w:rPr>
          <w:rFonts w:hint="eastAsia" w:ascii="仿宋" w:hAnsi="仿宋" w:eastAsia="仿宋" w:cs="仿宋"/>
          <w:color w:val="auto"/>
          <w:sz w:val="32"/>
          <w:szCs w:val="32"/>
        </w:rPr>
        <w:t>4</w:t>
      </w:r>
    </w:p>
    <w:p w14:paraId="32A22265">
      <w:pPr>
        <w:pStyle w:val="17"/>
        <w:tabs>
          <w:tab w:val="right" w:leader="dot" w:pos="8306"/>
        </w:tabs>
        <w:spacing w:line="578" w:lineRule="exact"/>
        <w:ind w:leftChars="0"/>
        <w:rPr>
          <w:rFonts w:hint="eastAsia" w:ascii="仿宋" w:hAnsi="仿宋" w:eastAsia="仿宋" w:cs="仿宋"/>
          <w:color w:val="auto"/>
          <w:sz w:val="32"/>
          <w:szCs w:val="32"/>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_Toc19535_WPSOffice_Level2 </w:instrText>
      </w:r>
      <w:r>
        <w:rPr>
          <w:rFonts w:hint="eastAsia" w:ascii="仿宋" w:hAnsi="仿宋" w:eastAsia="仿宋" w:cs="仿宋"/>
          <w:color w:val="auto"/>
          <w:sz w:val="32"/>
          <w:szCs w:val="32"/>
        </w:rPr>
        <w:fldChar w:fldCharType="separate"/>
      </w:r>
      <w:r>
        <w:rPr>
          <w:rFonts w:hint="eastAsia" w:ascii="仿宋" w:hAnsi="仿宋" w:eastAsia="仿宋" w:cs="仿宋"/>
          <w:bCs/>
          <w:color w:val="auto"/>
          <w:sz w:val="32"/>
          <w:szCs w:val="32"/>
        </w:rPr>
        <w:t>四、财政拨款收入支出决算</w:t>
      </w:r>
      <w:r>
        <w:rPr>
          <w:rFonts w:hint="eastAsia" w:ascii="仿宋" w:hAnsi="仿宋" w:eastAsia="仿宋" w:cs="仿宋"/>
          <w:bCs/>
          <w:color w:val="auto"/>
          <w:sz w:val="32"/>
          <w:szCs w:val="32"/>
          <w:lang w:val="en-US" w:eastAsia="zh-CN"/>
        </w:rPr>
        <w:t>总体</w:t>
      </w:r>
      <w:r>
        <w:rPr>
          <w:rFonts w:hint="eastAsia" w:ascii="仿宋" w:hAnsi="仿宋" w:eastAsia="仿宋" w:cs="仿宋"/>
          <w:bCs/>
          <w:color w:val="auto"/>
          <w:sz w:val="32"/>
          <w:szCs w:val="32"/>
        </w:rPr>
        <w:t>情况说明</w:t>
      </w:r>
      <w:r>
        <w:rPr>
          <w:rFonts w:hint="eastAsia" w:ascii="仿宋" w:hAnsi="仿宋" w:eastAsia="仿宋" w:cs="仿宋"/>
          <w:color w:val="auto"/>
          <w:sz w:val="32"/>
          <w:szCs w:val="32"/>
        </w:rPr>
        <w:tab/>
      </w:r>
      <w:r>
        <w:rPr>
          <w:rFonts w:hint="eastAsia" w:ascii="仿宋" w:hAnsi="仿宋" w:eastAsia="仿宋" w:cs="仿宋"/>
          <w:color w:val="auto"/>
          <w:sz w:val="32"/>
          <w:szCs w:val="32"/>
        </w:rPr>
        <w:fldChar w:fldCharType="end"/>
      </w:r>
      <w:r>
        <w:rPr>
          <w:rFonts w:hint="eastAsia" w:ascii="仿宋" w:hAnsi="仿宋" w:eastAsia="仿宋" w:cs="仿宋"/>
          <w:color w:val="auto"/>
          <w:sz w:val="32"/>
          <w:szCs w:val="32"/>
        </w:rPr>
        <w:t>4</w:t>
      </w:r>
    </w:p>
    <w:p w14:paraId="7C6A05BB">
      <w:pPr>
        <w:pStyle w:val="17"/>
        <w:tabs>
          <w:tab w:val="right" w:leader="dot" w:pos="8306"/>
        </w:tabs>
        <w:spacing w:line="578" w:lineRule="exact"/>
        <w:ind w:leftChars="0"/>
        <w:rPr>
          <w:rFonts w:hint="eastAsia" w:ascii="仿宋" w:hAnsi="仿宋" w:eastAsia="仿宋" w:cs="仿宋"/>
          <w:color w:val="auto"/>
          <w:sz w:val="32"/>
          <w:szCs w:val="32"/>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_Toc19535_WPSOffice_Level2 </w:instrText>
      </w:r>
      <w:r>
        <w:rPr>
          <w:rFonts w:hint="eastAsia" w:ascii="仿宋" w:hAnsi="仿宋" w:eastAsia="仿宋" w:cs="仿宋"/>
          <w:color w:val="auto"/>
          <w:sz w:val="32"/>
          <w:szCs w:val="32"/>
        </w:rPr>
        <w:fldChar w:fldCharType="separate"/>
      </w:r>
      <w:r>
        <w:rPr>
          <w:rFonts w:hint="eastAsia" w:ascii="仿宋" w:hAnsi="仿宋" w:eastAsia="仿宋" w:cs="仿宋"/>
          <w:bCs/>
          <w:color w:val="auto"/>
          <w:sz w:val="32"/>
          <w:szCs w:val="32"/>
        </w:rPr>
        <w:t>五、一般公共预算财政拨款支出决算情况说明</w:t>
      </w:r>
      <w:r>
        <w:rPr>
          <w:rFonts w:hint="eastAsia" w:ascii="仿宋" w:hAnsi="仿宋" w:eastAsia="仿宋" w:cs="仿宋"/>
          <w:color w:val="auto"/>
          <w:sz w:val="32"/>
          <w:szCs w:val="32"/>
        </w:rPr>
        <w:tab/>
      </w:r>
      <w:r>
        <w:rPr>
          <w:rFonts w:hint="eastAsia" w:ascii="仿宋" w:hAnsi="仿宋" w:eastAsia="仿宋" w:cs="仿宋"/>
          <w:color w:val="auto"/>
          <w:sz w:val="32"/>
          <w:szCs w:val="32"/>
        </w:rPr>
        <w:fldChar w:fldCharType="end"/>
      </w:r>
      <w:r>
        <w:rPr>
          <w:rFonts w:hint="eastAsia" w:ascii="仿宋" w:hAnsi="仿宋" w:eastAsia="仿宋" w:cs="仿宋"/>
          <w:color w:val="auto"/>
          <w:sz w:val="32"/>
          <w:szCs w:val="32"/>
        </w:rPr>
        <w:t>5</w:t>
      </w:r>
    </w:p>
    <w:p w14:paraId="3ED2A562">
      <w:pPr>
        <w:pStyle w:val="17"/>
        <w:tabs>
          <w:tab w:val="right" w:leader="dot" w:pos="8306"/>
        </w:tabs>
        <w:spacing w:line="578" w:lineRule="exact"/>
        <w:ind w:leftChars="0"/>
        <w:rPr>
          <w:rFonts w:hint="eastAsia" w:ascii="仿宋" w:hAnsi="仿宋" w:eastAsia="仿宋" w:cs="仿宋"/>
          <w:color w:val="auto"/>
          <w:sz w:val="32"/>
          <w:szCs w:val="32"/>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_Toc19535_WPSOffice_Level2 </w:instrText>
      </w:r>
      <w:r>
        <w:rPr>
          <w:rFonts w:hint="eastAsia" w:ascii="仿宋" w:hAnsi="仿宋" w:eastAsia="仿宋" w:cs="仿宋"/>
          <w:color w:val="auto"/>
          <w:sz w:val="32"/>
          <w:szCs w:val="32"/>
        </w:rPr>
        <w:fldChar w:fldCharType="separate"/>
      </w:r>
      <w:r>
        <w:rPr>
          <w:rFonts w:hint="eastAsia" w:ascii="仿宋" w:hAnsi="仿宋" w:eastAsia="仿宋" w:cs="仿宋"/>
          <w:bCs/>
          <w:color w:val="auto"/>
          <w:sz w:val="32"/>
          <w:szCs w:val="32"/>
        </w:rPr>
        <w:t>六、一般公共预算财政拨款基本支出决算情况说明</w:t>
      </w:r>
      <w:r>
        <w:rPr>
          <w:rFonts w:hint="eastAsia" w:ascii="仿宋" w:hAnsi="仿宋" w:eastAsia="仿宋" w:cs="仿宋"/>
          <w:color w:val="auto"/>
          <w:sz w:val="32"/>
          <w:szCs w:val="32"/>
        </w:rPr>
        <w:fldChar w:fldCharType="end"/>
      </w:r>
      <w:r>
        <w:rPr>
          <w:rFonts w:hint="eastAsia" w:ascii="仿宋" w:hAnsi="仿宋" w:eastAsia="仿宋" w:cs="仿宋"/>
          <w:color w:val="auto"/>
          <w:sz w:val="32"/>
          <w:szCs w:val="32"/>
        </w:rPr>
        <w:tab/>
      </w:r>
      <w:r>
        <w:rPr>
          <w:rFonts w:hint="eastAsia" w:ascii="仿宋" w:hAnsi="仿宋" w:eastAsia="仿宋" w:cs="仿宋"/>
          <w:color w:val="auto"/>
          <w:sz w:val="32"/>
          <w:szCs w:val="32"/>
        </w:rPr>
        <w:t>6</w:t>
      </w:r>
    </w:p>
    <w:p w14:paraId="48BEC313">
      <w:pPr>
        <w:pStyle w:val="17"/>
        <w:numPr>
          <w:ilvl w:val="0"/>
          <w:numId w:val="1"/>
        </w:numPr>
        <w:tabs>
          <w:tab w:val="right" w:leader="dot" w:pos="8306"/>
        </w:tabs>
        <w:spacing w:line="578" w:lineRule="exact"/>
        <w:ind w:leftChars="0"/>
        <w:rPr>
          <w:rFonts w:hint="eastAsia" w:ascii="仿宋" w:hAnsi="仿宋" w:eastAsia="仿宋" w:cs="仿宋"/>
          <w:color w:val="auto"/>
          <w:sz w:val="32"/>
          <w:szCs w:val="32"/>
        </w:rPr>
      </w:pPr>
      <w:r>
        <w:rPr>
          <w:rFonts w:hint="eastAsia" w:ascii="仿宋" w:hAnsi="仿宋" w:eastAsia="仿宋" w:cs="仿宋"/>
          <w:bCs/>
          <w:color w:val="auto"/>
          <w:sz w:val="32"/>
          <w:szCs w:val="32"/>
        </w:rPr>
        <w:t>政府性基金预算财政拨款支出决算情况说明</w:t>
      </w:r>
      <w:r>
        <w:rPr>
          <w:rFonts w:hint="eastAsia" w:ascii="仿宋" w:hAnsi="仿宋" w:eastAsia="仿宋" w:cs="仿宋"/>
          <w:color w:val="auto"/>
          <w:sz w:val="32"/>
          <w:szCs w:val="32"/>
        </w:rPr>
        <w:tab/>
      </w:r>
      <w:r>
        <w:rPr>
          <w:rFonts w:hint="eastAsia" w:ascii="仿宋" w:hAnsi="仿宋" w:eastAsia="仿宋" w:cs="仿宋"/>
          <w:color w:val="auto"/>
          <w:sz w:val="32"/>
          <w:szCs w:val="32"/>
        </w:rPr>
        <w:t>7</w:t>
      </w:r>
    </w:p>
    <w:p w14:paraId="44F66F8A">
      <w:pPr>
        <w:pStyle w:val="17"/>
        <w:numPr>
          <w:ilvl w:val="0"/>
          <w:numId w:val="1"/>
        </w:numPr>
        <w:tabs>
          <w:tab w:val="right" w:leader="dot" w:pos="8306"/>
        </w:tabs>
        <w:spacing w:line="578" w:lineRule="exact"/>
        <w:ind w:leftChars="0"/>
        <w:rPr>
          <w:rFonts w:hint="eastAsia" w:ascii="仿宋" w:hAnsi="仿宋" w:eastAsia="仿宋" w:cs="仿宋"/>
          <w:color w:val="auto"/>
          <w:sz w:val="32"/>
          <w:szCs w:val="32"/>
        </w:rPr>
      </w:pPr>
      <w:r>
        <w:rPr>
          <w:rFonts w:hint="eastAsia" w:ascii="仿宋" w:hAnsi="仿宋" w:eastAsia="仿宋" w:cs="仿宋"/>
          <w:bCs/>
          <w:color w:val="auto"/>
          <w:sz w:val="32"/>
          <w:szCs w:val="32"/>
        </w:rPr>
        <w:t>国有资本经营预算财政拨款支出决算情况说明</w:t>
      </w:r>
      <w:r>
        <w:rPr>
          <w:rFonts w:hint="eastAsia" w:ascii="仿宋" w:hAnsi="仿宋" w:eastAsia="仿宋" w:cs="仿宋"/>
          <w:color w:val="auto"/>
          <w:sz w:val="32"/>
          <w:szCs w:val="32"/>
        </w:rPr>
        <w:tab/>
      </w:r>
      <w:r>
        <w:rPr>
          <w:rFonts w:hint="eastAsia" w:ascii="仿宋" w:hAnsi="仿宋" w:eastAsia="仿宋" w:cs="仿宋"/>
          <w:color w:val="auto"/>
          <w:sz w:val="32"/>
          <w:szCs w:val="32"/>
        </w:rPr>
        <w:t>8</w:t>
      </w:r>
    </w:p>
    <w:p w14:paraId="1FB5CD0C">
      <w:pPr>
        <w:pStyle w:val="17"/>
        <w:tabs>
          <w:tab w:val="right" w:leader="dot" w:pos="8306"/>
        </w:tabs>
        <w:spacing w:line="578" w:lineRule="exact"/>
        <w:ind w:leftChars="0"/>
        <w:rPr>
          <w:rFonts w:hint="eastAsia" w:ascii="仿宋" w:hAnsi="仿宋" w:eastAsia="仿宋" w:cs="仿宋"/>
          <w:color w:val="auto"/>
          <w:sz w:val="32"/>
          <w:szCs w:val="32"/>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_Toc19535_WPSOffice_Level2 </w:instrText>
      </w:r>
      <w:r>
        <w:rPr>
          <w:rFonts w:hint="eastAsia" w:ascii="仿宋" w:hAnsi="仿宋" w:eastAsia="仿宋" w:cs="仿宋"/>
          <w:color w:val="auto"/>
          <w:sz w:val="32"/>
          <w:szCs w:val="32"/>
        </w:rPr>
        <w:fldChar w:fldCharType="separate"/>
      </w:r>
      <w:r>
        <w:rPr>
          <w:rFonts w:hint="eastAsia" w:ascii="仿宋" w:hAnsi="仿宋" w:eastAsia="仿宋" w:cs="仿宋"/>
          <w:bCs/>
          <w:color w:val="auto"/>
          <w:sz w:val="32"/>
          <w:szCs w:val="32"/>
        </w:rPr>
        <w:t>九、财政拨款“三公”经费支出决算情况说明</w:t>
      </w:r>
      <w:r>
        <w:rPr>
          <w:rFonts w:hint="eastAsia" w:ascii="仿宋" w:hAnsi="仿宋" w:eastAsia="仿宋" w:cs="仿宋"/>
          <w:color w:val="auto"/>
          <w:sz w:val="32"/>
          <w:szCs w:val="32"/>
        </w:rPr>
        <w:tab/>
      </w:r>
      <w:r>
        <w:rPr>
          <w:rFonts w:hint="eastAsia" w:ascii="仿宋" w:hAnsi="仿宋" w:eastAsia="仿宋" w:cs="仿宋"/>
          <w:color w:val="auto"/>
          <w:sz w:val="32"/>
          <w:szCs w:val="32"/>
        </w:rPr>
        <w:fldChar w:fldCharType="end"/>
      </w:r>
      <w:r>
        <w:rPr>
          <w:rFonts w:hint="eastAsia" w:ascii="仿宋" w:hAnsi="仿宋" w:eastAsia="仿宋" w:cs="仿宋"/>
          <w:color w:val="auto"/>
          <w:sz w:val="32"/>
          <w:szCs w:val="32"/>
        </w:rPr>
        <w:t>9</w:t>
      </w:r>
    </w:p>
    <w:p w14:paraId="70688CC3">
      <w:pPr>
        <w:pStyle w:val="17"/>
        <w:tabs>
          <w:tab w:val="right" w:leader="dot" w:pos="8306"/>
        </w:tabs>
        <w:spacing w:line="578" w:lineRule="exact"/>
        <w:ind w:leftChars="0"/>
        <w:rPr>
          <w:rFonts w:hint="eastAsia" w:ascii="仿宋" w:hAnsi="仿宋" w:eastAsia="仿宋" w:cs="仿宋"/>
          <w:color w:val="auto"/>
          <w:sz w:val="32"/>
          <w:szCs w:val="32"/>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_Toc19535_WPSOffice_Level2 </w:instrText>
      </w:r>
      <w:r>
        <w:rPr>
          <w:rFonts w:hint="eastAsia" w:ascii="仿宋" w:hAnsi="仿宋" w:eastAsia="仿宋" w:cs="仿宋"/>
          <w:color w:val="auto"/>
          <w:sz w:val="32"/>
          <w:szCs w:val="32"/>
        </w:rPr>
        <w:fldChar w:fldCharType="separate"/>
      </w:r>
      <w:r>
        <w:rPr>
          <w:rFonts w:hint="eastAsia" w:ascii="仿宋" w:hAnsi="仿宋" w:eastAsia="仿宋" w:cs="仿宋"/>
          <w:bCs/>
          <w:color w:val="auto"/>
          <w:sz w:val="32"/>
          <w:szCs w:val="32"/>
        </w:rPr>
        <w:t>十、预算绩效情况说明</w:t>
      </w:r>
      <w:r>
        <w:rPr>
          <w:rFonts w:hint="eastAsia" w:ascii="仿宋" w:hAnsi="仿宋" w:eastAsia="仿宋" w:cs="仿宋"/>
          <w:color w:val="auto"/>
          <w:sz w:val="32"/>
          <w:szCs w:val="32"/>
        </w:rPr>
        <w:tab/>
      </w:r>
      <w:r>
        <w:rPr>
          <w:rFonts w:hint="eastAsia" w:ascii="仿宋" w:hAnsi="仿宋" w:eastAsia="仿宋" w:cs="仿宋"/>
          <w:color w:val="auto"/>
          <w:sz w:val="32"/>
          <w:szCs w:val="32"/>
        </w:rPr>
        <w:fldChar w:fldCharType="end"/>
      </w:r>
      <w:r>
        <w:rPr>
          <w:rFonts w:hint="eastAsia" w:ascii="仿宋" w:hAnsi="仿宋" w:eastAsia="仿宋" w:cs="仿宋"/>
          <w:color w:val="auto"/>
          <w:sz w:val="32"/>
          <w:szCs w:val="32"/>
        </w:rPr>
        <w:t>11</w:t>
      </w:r>
    </w:p>
    <w:p w14:paraId="73663DF3">
      <w:pPr>
        <w:pStyle w:val="17"/>
        <w:tabs>
          <w:tab w:val="right" w:leader="dot" w:pos="8306"/>
        </w:tabs>
        <w:spacing w:line="578" w:lineRule="exact"/>
        <w:ind w:leftChars="0"/>
        <w:rPr>
          <w:rFonts w:hint="eastAsia" w:ascii="仿宋" w:hAnsi="仿宋" w:eastAsia="仿宋" w:cs="仿宋"/>
          <w:color w:val="auto"/>
          <w:sz w:val="32"/>
          <w:szCs w:val="32"/>
        </w:rPr>
      </w:pPr>
      <w:r>
        <w:rPr>
          <w:rFonts w:hint="eastAsia" w:ascii="仿宋" w:hAnsi="仿宋" w:eastAsia="仿宋" w:cs="仿宋"/>
          <w:bCs/>
          <w:color w:val="auto"/>
          <w:sz w:val="32"/>
          <w:szCs w:val="32"/>
        </w:rPr>
        <w:t>十一、其他重要事项情况说明</w:t>
      </w:r>
      <w:r>
        <w:rPr>
          <w:rFonts w:hint="eastAsia" w:ascii="仿宋" w:hAnsi="仿宋" w:eastAsia="仿宋" w:cs="仿宋"/>
          <w:color w:val="auto"/>
          <w:sz w:val="32"/>
          <w:szCs w:val="32"/>
        </w:rPr>
        <w:tab/>
      </w:r>
      <w:r>
        <w:rPr>
          <w:rFonts w:hint="eastAsia" w:ascii="仿宋" w:hAnsi="仿宋" w:eastAsia="仿宋" w:cs="仿宋"/>
          <w:color w:val="auto"/>
          <w:sz w:val="32"/>
          <w:szCs w:val="32"/>
        </w:rPr>
        <w:t>13</w:t>
      </w:r>
    </w:p>
    <w:p w14:paraId="5067AAA4">
      <w:pPr>
        <w:pStyle w:val="16"/>
        <w:tabs>
          <w:tab w:val="right" w:leader="dot" w:pos="8306"/>
        </w:tabs>
        <w:spacing w:line="578" w:lineRule="exact"/>
        <w:rPr>
          <w:rFonts w:hint="eastAsia" w:ascii="黑体" w:hAnsi="ˎ̥"/>
          <w:b/>
          <w:color w:val="auto"/>
          <w:sz w:val="32"/>
          <w:szCs w:val="32"/>
        </w:rPr>
      </w:pPr>
      <w:r>
        <w:rPr>
          <w:color w:val="auto"/>
          <w:sz w:val="32"/>
          <w:szCs w:val="32"/>
        </w:rPr>
        <w:fldChar w:fldCharType="begin"/>
      </w:r>
      <w:r>
        <w:rPr>
          <w:color w:val="auto"/>
          <w:sz w:val="32"/>
          <w:szCs w:val="32"/>
        </w:rPr>
        <w:instrText xml:space="preserve"> HYPERLINK \l _Toc15425_WPSOffice_Level1 </w:instrText>
      </w:r>
      <w:r>
        <w:rPr>
          <w:color w:val="auto"/>
          <w:sz w:val="32"/>
          <w:szCs w:val="32"/>
        </w:rPr>
        <w:fldChar w:fldCharType="separate"/>
      </w:r>
      <w:r>
        <w:rPr>
          <w:rFonts w:hint="eastAsia" w:ascii="黑体" w:hAnsi="ˎ̥" w:eastAsia="黑体"/>
          <w:color w:val="auto"/>
          <w:sz w:val="32"/>
          <w:szCs w:val="32"/>
        </w:rPr>
        <w:t>第四部分  名词解释</w:t>
      </w:r>
      <w:r>
        <w:rPr>
          <w:color w:val="auto"/>
          <w:sz w:val="32"/>
          <w:szCs w:val="32"/>
        </w:rPr>
        <w:tab/>
      </w:r>
      <w:bookmarkStart w:id="1" w:name="_Toc15425_WPSOffice_Level1Page"/>
      <w:r>
        <w:rPr>
          <w:color w:val="auto"/>
          <w:sz w:val="32"/>
          <w:szCs w:val="32"/>
        </w:rPr>
        <w:t>1</w:t>
      </w:r>
      <w:bookmarkEnd w:id="1"/>
      <w:r>
        <w:rPr>
          <w:color w:val="auto"/>
          <w:sz w:val="32"/>
          <w:szCs w:val="32"/>
        </w:rPr>
        <w:fldChar w:fldCharType="end"/>
      </w:r>
      <w:bookmarkEnd w:id="0"/>
      <w:r>
        <w:rPr>
          <w:rFonts w:hint="eastAsia"/>
          <w:color w:val="auto"/>
          <w:sz w:val="32"/>
          <w:szCs w:val="32"/>
        </w:rPr>
        <w:t>5</w:t>
      </w:r>
    </w:p>
    <w:p w14:paraId="6922DFF1">
      <w:pPr>
        <w:spacing w:line="578" w:lineRule="exact"/>
        <w:jc w:val="both"/>
        <w:rPr>
          <w:rFonts w:hint="eastAsia" w:ascii="黑体" w:hAnsi="ˎ̥" w:eastAsia="黑体"/>
          <w:color w:val="auto"/>
          <w:sz w:val="32"/>
          <w:szCs w:val="32"/>
        </w:rPr>
      </w:pPr>
      <w:bookmarkStart w:id="2" w:name="_Toc23465_WPSOffice_Level1"/>
      <w:bookmarkStart w:id="3" w:name="_Toc32433_WPSOffice_Level1"/>
      <w:bookmarkStart w:id="4" w:name="_Toc10720_WPSOffice_Level1"/>
      <w:bookmarkStart w:id="5" w:name="_Toc10049_WPSOffice_Level1"/>
      <w:bookmarkStart w:id="6" w:name="_Toc22941_WPSOffice_Level1"/>
      <w:bookmarkStart w:id="7" w:name="_Toc1704_WPSOffice_Level1"/>
      <w:bookmarkStart w:id="8" w:name="_Toc24238_WPSOffice_Level2"/>
      <w:bookmarkStart w:id="9" w:name="_Toc26580_WPSOffice_Level2"/>
      <w:bookmarkStart w:id="10" w:name="_Toc20274_WPSOffice_Level2"/>
      <w:bookmarkStart w:id="11" w:name="_Toc20205_WPSOffice_Level2"/>
      <w:bookmarkStart w:id="12" w:name="_Toc14159_WPSOffice_Level2"/>
      <w:bookmarkStart w:id="13" w:name="_Toc32622_WPSOffice_Level2"/>
    </w:p>
    <w:p w14:paraId="4DF62737">
      <w:pPr>
        <w:spacing w:line="578" w:lineRule="exact"/>
        <w:jc w:val="center"/>
        <w:rPr>
          <w:rFonts w:hint="eastAsia" w:ascii="黑体" w:hAnsi="ˎ̥" w:eastAsia="黑体"/>
          <w:color w:val="auto"/>
          <w:sz w:val="32"/>
          <w:szCs w:val="32"/>
        </w:rPr>
      </w:pPr>
      <w:r>
        <w:rPr>
          <w:rFonts w:hint="eastAsia" w:ascii="黑体" w:hAnsi="ˎ̥" w:eastAsia="黑体"/>
          <w:color w:val="auto"/>
          <w:sz w:val="32"/>
          <w:szCs w:val="32"/>
        </w:rPr>
        <w:t xml:space="preserve">第一部分  </w:t>
      </w:r>
      <w:bookmarkEnd w:id="2"/>
      <w:bookmarkEnd w:id="3"/>
      <w:bookmarkEnd w:id="4"/>
      <w:bookmarkEnd w:id="5"/>
      <w:bookmarkEnd w:id="6"/>
      <w:bookmarkEnd w:id="7"/>
      <w:r>
        <w:rPr>
          <w:rFonts w:hint="eastAsia" w:ascii="黑体" w:hAnsi="ˎ̥" w:eastAsia="黑体"/>
          <w:color w:val="auto"/>
          <w:sz w:val="32"/>
          <w:szCs w:val="32"/>
        </w:rPr>
        <w:t>基本情况</w:t>
      </w:r>
    </w:p>
    <w:p w14:paraId="296ED1FF">
      <w:pPr>
        <w:spacing w:line="578" w:lineRule="exact"/>
        <w:ind w:firstLine="640" w:firstLineChars="200"/>
        <w:rPr>
          <w:rFonts w:hint="eastAsia" w:ascii="楷体" w:hAnsi="楷体" w:eastAsia="楷体" w:cs="楷体"/>
          <w:color w:val="auto"/>
          <w:sz w:val="32"/>
          <w:szCs w:val="32"/>
        </w:rPr>
      </w:pPr>
    </w:p>
    <w:p w14:paraId="12F7A672">
      <w:pPr>
        <w:numPr>
          <w:ilvl w:val="0"/>
          <w:numId w:val="2"/>
        </w:numPr>
        <w:spacing w:line="578" w:lineRule="exact"/>
        <w:ind w:firstLine="640" w:firstLineChars="200"/>
        <w:rPr>
          <w:rFonts w:hint="eastAsia" w:ascii="黑体" w:hAnsi="黑体" w:eastAsia="黑体" w:cs="黑体"/>
          <w:color w:val="auto"/>
          <w:sz w:val="32"/>
          <w:szCs w:val="32"/>
        </w:rPr>
      </w:pPr>
      <w:r>
        <w:rPr>
          <w:rFonts w:hint="eastAsia" w:ascii="黑体" w:hAnsi="黑体" w:eastAsia="黑体" w:cs="黑体"/>
          <w:color w:val="auto"/>
          <w:sz w:val="32"/>
          <w:szCs w:val="32"/>
        </w:rPr>
        <w:t>部门</w:t>
      </w:r>
      <w:bookmarkEnd w:id="8"/>
      <w:r>
        <w:rPr>
          <w:rFonts w:hint="eastAsia" w:ascii="黑体" w:hAnsi="黑体" w:eastAsia="黑体" w:cs="黑体"/>
          <w:color w:val="auto"/>
          <w:sz w:val="32"/>
          <w:szCs w:val="32"/>
        </w:rPr>
        <w:t>职责</w:t>
      </w:r>
      <w:bookmarkEnd w:id="9"/>
      <w:bookmarkEnd w:id="10"/>
      <w:bookmarkEnd w:id="11"/>
      <w:bookmarkEnd w:id="12"/>
      <w:bookmarkEnd w:id="13"/>
    </w:p>
    <w:p w14:paraId="0E10643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根据《中共海南省委机构编制委员会关于印发海南热带雨林国家公园管理局尖峰岭等7个管护机构职能配置、内设机构和人员编制规定的通知》（琼编</w:t>
      </w:r>
      <w:r>
        <w:rPr>
          <w:rFonts w:hint="eastAsia" w:ascii="仿宋_GB2312" w:hAnsi="仿宋_GB2312" w:eastAsia="仿宋_GB2312" w:cs="仿宋_GB2312"/>
          <w:color w:val="auto"/>
          <w:sz w:val="32"/>
          <w:szCs w:val="32"/>
          <w:lang w:val="en-US" w:eastAsia="zh-CN"/>
        </w:rPr>
        <w:t>〔2020〕49号</w:t>
      </w:r>
      <w:r>
        <w:rPr>
          <w:rFonts w:hint="eastAsia" w:ascii="仿宋_GB2312" w:hAnsi="仿宋_GB2312" w:eastAsia="仿宋_GB2312" w:cs="仿宋_GB2312"/>
          <w:color w:val="auto"/>
          <w:sz w:val="32"/>
          <w:szCs w:val="32"/>
          <w:lang w:eastAsia="zh-CN"/>
        </w:rPr>
        <w:t>）文件内容，海南热带雨林国家公园管理局毛瑞分局主要职责是：</w:t>
      </w:r>
    </w:p>
    <w:p w14:paraId="69A77CD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kern w:val="2"/>
          <w:sz w:val="32"/>
          <w:szCs w:val="32"/>
          <w:lang w:val="en-US" w:eastAsia="zh-CN" w:bidi="ar-SA"/>
        </w:rPr>
        <w:t>（一）</w:t>
      </w:r>
      <w:r>
        <w:rPr>
          <w:rFonts w:hint="eastAsia" w:ascii="仿宋_GB2312" w:hAnsi="仿宋_GB2312" w:eastAsia="仿宋_GB2312" w:cs="仿宋_GB2312"/>
          <w:color w:val="auto"/>
          <w:sz w:val="32"/>
          <w:szCs w:val="32"/>
          <w:lang w:val="en-US" w:eastAsia="zh-CN"/>
        </w:rPr>
        <w:t>承担辖区内的生态保护、自然资源资产管理、特许经营管理、社会参与管理、宣传推介等事务性工作。</w:t>
      </w:r>
    </w:p>
    <w:p w14:paraId="2809622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（二）负责辖区内基础设施建设、安全生产、森林防火及病虫害防治工作。</w:t>
      </w:r>
    </w:p>
    <w:p w14:paraId="6BB71EF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（三）组织开展科研活动、资源调查、生态环境监测和评价等工作。</w:t>
      </w:r>
    </w:p>
    <w:p w14:paraId="18048D8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（四）组织开展生态体验、科普教育等活动。</w:t>
      </w:r>
    </w:p>
    <w:p w14:paraId="5A68B3D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（五）配合地方政府做好相关工作、承办上级部门交办的其他工作。</w:t>
      </w:r>
    </w:p>
    <w:p w14:paraId="2CD3B69E">
      <w:pPr>
        <w:spacing w:line="578" w:lineRule="exact"/>
        <w:ind w:firstLine="640" w:firstLineChars="200"/>
        <w:rPr>
          <w:rFonts w:hint="eastAsia" w:ascii="黑体" w:hAnsi="黑体" w:eastAsia="黑体" w:cs="黑体"/>
          <w:color w:val="auto"/>
          <w:sz w:val="32"/>
          <w:szCs w:val="32"/>
        </w:rPr>
      </w:pPr>
      <w:bookmarkStart w:id="14" w:name="_Toc4833_WPSOffice_Level2"/>
      <w:bookmarkStart w:id="15" w:name="_Toc6572_WPSOffice_Level2"/>
      <w:bookmarkStart w:id="16" w:name="_Toc24059_WPSOffice_Level2"/>
      <w:bookmarkStart w:id="17" w:name="_Toc17796_WPSOffice_Level2"/>
      <w:bookmarkStart w:id="18" w:name="_Toc24474_WPSOffice_Level2"/>
      <w:r>
        <w:rPr>
          <w:rFonts w:hint="eastAsia" w:ascii="黑体" w:hAnsi="黑体" w:eastAsia="黑体" w:cs="黑体"/>
          <w:color w:val="auto"/>
          <w:sz w:val="32"/>
          <w:szCs w:val="32"/>
        </w:rPr>
        <w:t>二、机构设置</w:t>
      </w:r>
      <w:bookmarkEnd w:id="14"/>
      <w:bookmarkEnd w:id="15"/>
      <w:bookmarkEnd w:id="16"/>
      <w:bookmarkEnd w:id="17"/>
      <w:bookmarkEnd w:id="18"/>
    </w:p>
    <w:p w14:paraId="132BD391">
      <w:pPr>
        <w:ind w:firstLine="640" w:firstLineChars="200"/>
        <w:rPr>
          <w:rFonts w:hint="eastAsia" w:ascii="仿宋" w:hAnsi="仿宋" w:eastAsia="仿宋" w:cs="仿宋"/>
          <w:sz w:val="32"/>
          <w:szCs w:val="32"/>
        </w:rPr>
      </w:pPr>
      <w:bookmarkStart w:id="19" w:name="_Toc30690_WPSOffice_Level1"/>
      <w:bookmarkStart w:id="20" w:name="_Toc8164_WPSOffice_Level1"/>
      <w:bookmarkStart w:id="21" w:name="_Toc30451_WPSOffice_Level1"/>
      <w:bookmarkStart w:id="22" w:name="_Toc15521_WPSOffice_Level1"/>
      <w:bookmarkStart w:id="23" w:name="_Toc28253_WPSOffice_Level1"/>
      <w:bookmarkStart w:id="24" w:name="_Toc6234_WPSOffice_Level1"/>
      <w:bookmarkStart w:id="25" w:name="_Toc4029_WPSOffice_Level2"/>
      <w:bookmarkStart w:id="26" w:name="_Toc32472_WPSOffice_Level2"/>
      <w:bookmarkStart w:id="27" w:name="_Toc11518_WPSOffice_Level2"/>
      <w:bookmarkStart w:id="28" w:name="_Toc8867_WPSOffice_Level2"/>
      <w:bookmarkStart w:id="29" w:name="_Toc6211_WPSOffice_Level2"/>
      <w:bookmarkStart w:id="30" w:name="_Toc32695_WPSOffice_Level2"/>
      <w:r>
        <w:rPr>
          <w:rFonts w:hint="eastAsia" w:ascii="仿宋" w:hAnsi="仿宋" w:eastAsia="仿宋" w:cs="仿宋"/>
          <w:sz w:val="32"/>
          <w:szCs w:val="32"/>
          <w:lang w:val="en-US" w:eastAsia="zh-CN"/>
        </w:rPr>
        <w:t>1、</w:t>
      </w:r>
      <w:r>
        <w:rPr>
          <w:rFonts w:hint="eastAsia" w:ascii="仿宋" w:hAnsi="仿宋" w:eastAsia="仿宋" w:cs="仿宋"/>
          <w:sz w:val="32"/>
          <w:szCs w:val="32"/>
        </w:rPr>
        <w:t>综合科</w:t>
      </w:r>
    </w:p>
    <w:p w14:paraId="52C4E838">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资源管理科</w:t>
      </w:r>
    </w:p>
    <w:p w14:paraId="2097CCA7">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宣教科普科</w:t>
      </w:r>
    </w:p>
    <w:p w14:paraId="5F42049B">
      <w:pPr>
        <w:ind w:firstLine="640" w:firstLineChars="200"/>
        <w:rPr>
          <w:rFonts w:hint="eastAsia" w:ascii="仿宋" w:hAnsi="仿宋" w:eastAsia="仿宋" w:cs="仿宋"/>
          <w:sz w:val="32"/>
          <w:szCs w:val="32"/>
        </w:rPr>
      </w:pPr>
      <w:bookmarkStart w:id="31" w:name="bookmark4"/>
      <w:bookmarkEnd w:id="31"/>
      <w:r>
        <w:rPr>
          <w:rFonts w:hint="eastAsia" w:ascii="仿宋" w:hAnsi="仿宋" w:eastAsia="仿宋" w:cs="仿宋"/>
          <w:sz w:val="32"/>
          <w:szCs w:val="32"/>
          <w:lang w:val="en-US" w:eastAsia="zh-CN"/>
        </w:rPr>
        <w:t>4、</w:t>
      </w:r>
      <w:r>
        <w:rPr>
          <w:rFonts w:hint="eastAsia" w:ascii="仿宋" w:hAnsi="仿宋" w:eastAsia="仿宋" w:cs="仿宋"/>
          <w:sz w:val="32"/>
          <w:szCs w:val="32"/>
        </w:rPr>
        <w:t>生态保护科</w:t>
      </w:r>
    </w:p>
    <w:p w14:paraId="5C2B102F">
      <w:pPr>
        <w:rPr>
          <w:rFonts w:hint="eastAsia" w:ascii="仿宋" w:hAnsi="仿宋" w:eastAsia="仿宋" w:cs="仿宋"/>
          <w:sz w:val="32"/>
          <w:szCs w:val="32"/>
        </w:rPr>
      </w:pPr>
    </w:p>
    <w:p w14:paraId="5357651A">
      <w:pPr>
        <w:spacing w:line="578" w:lineRule="exact"/>
        <w:jc w:val="center"/>
        <w:rPr>
          <w:rFonts w:hint="eastAsia" w:ascii="黑体" w:hAnsi="ˎ̥" w:eastAsia="黑体"/>
          <w:color w:val="auto"/>
          <w:sz w:val="32"/>
          <w:szCs w:val="32"/>
        </w:rPr>
      </w:pPr>
      <w:r>
        <w:rPr>
          <w:rFonts w:hint="eastAsia" w:ascii="黑体" w:hAnsi="ˎ̥" w:eastAsia="黑体"/>
          <w:color w:val="auto"/>
          <w:sz w:val="32"/>
          <w:szCs w:val="32"/>
        </w:rPr>
        <w:t xml:space="preserve">第二部分  </w:t>
      </w:r>
      <w:r>
        <w:rPr>
          <w:rFonts w:hint="default" w:ascii="黑体" w:hAnsi="ˎ̥" w:eastAsia="黑体"/>
          <w:color w:val="auto"/>
          <w:sz w:val="32"/>
          <w:szCs w:val="32"/>
          <w:lang w:val="en-US"/>
        </w:rPr>
        <w:t>2024</w:t>
      </w:r>
      <w:r>
        <w:rPr>
          <w:rFonts w:hint="eastAsia" w:ascii="黑体" w:hAnsi="ˎ̥" w:eastAsia="黑体"/>
          <w:color w:val="auto"/>
          <w:sz w:val="32"/>
          <w:szCs w:val="32"/>
        </w:rPr>
        <w:t>年度部门决算公开报表</w:t>
      </w:r>
      <w:bookmarkEnd w:id="19"/>
      <w:bookmarkEnd w:id="20"/>
      <w:bookmarkEnd w:id="21"/>
      <w:bookmarkEnd w:id="22"/>
      <w:bookmarkEnd w:id="23"/>
      <w:bookmarkEnd w:id="24"/>
    </w:p>
    <w:p w14:paraId="28130777">
      <w:pPr>
        <w:spacing w:line="578" w:lineRule="exact"/>
        <w:ind w:firstLine="645"/>
        <w:rPr>
          <w:rFonts w:hint="eastAsia" w:ascii="黑体" w:hAnsi="黑体" w:eastAsia="黑体" w:cs="黑体"/>
          <w:color w:val="auto"/>
          <w:sz w:val="32"/>
          <w:szCs w:val="32"/>
        </w:rPr>
      </w:pPr>
    </w:p>
    <w:p w14:paraId="14D5C4B2">
      <w:pPr>
        <w:spacing w:line="578" w:lineRule="exact"/>
        <w:ind w:firstLine="645"/>
        <w:rPr>
          <w:rFonts w:hint="eastAsia" w:ascii="黑体" w:hAnsi="黑体" w:eastAsia="黑体" w:cs="黑体"/>
          <w:color w:val="auto"/>
          <w:sz w:val="32"/>
          <w:szCs w:val="32"/>
        </w:rPr>
      </w:pPr>
      <w:r>
        <w:rPr>
          <w:rFonts w:hint="eastAsia" w:ascii="黑体" w:hAnsi="黑体" w:eastAsia="黑体" w:cs="黑体"/>
          <w:color w:val="auto"/>
          <w:sz w:val="32"/>
          <w:szCs w:val="32"/>
        </w:rPr>
        <w:t>一、收入支出决算公开表</w:t>
      </w:r>
      <w:bookmarkEnd w:id="25"/>
      <w:bookmarkEnd w:id="26"/>
      <w:bookmarkEnd w:id="27"/>
      <w:bookmarkEnd w:id="28"/>
      <w:bookmarkEnd w:id="29"/>
      <w:bookmarkEnd w:id="30"/>
    </w:p>
    <w:p w14:paraId="2E109903">
      <w:pPr>
        <w:spacing w:line="578" w:lineRule="exact"/>
        <w:ind w:firstLine="645"/>
        <w:rPr>
          <w:rFonts w:hint="eastAsia" w:ascii="黑体" w:hAnsi="黑体" w:eastAsia="黑体" w:cs="黑体"/>
          <w:color w:val="auto"/>
          <w:sz w:val="32"/>
          <w:szCs w:val="32"/>
        </w:rPr>
      </w:pPr>
      <w:bookmarkStart w:id="32" w:name="_Toc28622_WPSOffice_Level2"/>
      <w:bookmarkStart w:id="33" w:name="_Toc26621_WPSOffice_Level2"/>
      <w:bookmarkStart w:id="34" w:name="_Toc23139_WPSOffice_Level2"/>
      <w:bookmarkStart w:id="35" w:name="_Toc25608_WPSOffice_Level2"/>
      <w:bookmarkStart w:id="36" w:name="_Toc30334_WPSOffice_Level2"/>
      <w:bookmarkStart w:id="37" w:name="_Toc14349_WPSOffice_Level2"/>
      <w:r>
        <w:rPr>
          <w:rFonts w:hint="eastAsia" w:ascii="黑体" w:hAnsi="黑体" w:eastAsia="黑体" w:cs="黑体"/>
          <w:color w:val="auto"/>
          <w:sz w:val="32"/>
          <w:szCs w:val="32"/>
        </w:rPr>
        <w:t>二、收入决算公开表</w:t>
      </w:r>
      <w:bookmarkEnd w:id="32"/>
      <w:bookmarkEnd w:id="33"/>
      <w:bookmarkEnd w:id="34"/>
      <w:bookmarkEnd w:id="35"/>
      <w:bookmarkEnd w:id="36"/>
      <w:bookmarkEnd w:id="37"/>
      <w:bookmarkStart w:id="38" w:name="_Toc17626_WPSOffice_Level2"/>
      <w:bookmarkStart w:id="39" w:name="_Toc13854_WPSOffice_Level2"/>
      <w:bookmarkStart w:id="40" w:name="_Toc17858_WPSOffice_Level2"/>
      <w:bookmarkStart w:id="41" w:name="_Toc14658_WPSOffice_Level2"/>
      <w:bookmarkStart w:id="42" w:name="_Toc5489_WPSOffice_Level2"/>
      <w:bookmarkStart w:id="43" w:name="_Toc3262_WPSOffice_Level2"/>
    </w:p>
    <w:p w14:paraId="66B6B543">
      <w:pPr>
        <w:spacing w:line="578" w:lineRule="exact"/>
        <w:ind w:firstLine="645"/>
        <w:rPr>
          <w:rFonts w:hint="eastAsia" w:ascii="黑体" w:hAnsi="黑体" w:eastAsia="黑体" w:cs="黑体"/>
          <w:color w:val="auto"/>
          <w:sz w:val="32"/>
          <w:szCs w:val="32"/>
        </w:rPr>
      </w:pPr>
      <w:r>
        <w:rPr>
          <w:rFonts w:hint="eastAsia" w:ascii="黑体" w:hAnsi="黑体" w:eastAsia="黑体" w:cs="黑体"/>
          <w:color w:val="auto"/>
          <w:sz w:val="32"/>
          <w:szCs w:val="32"/>
        </w:rPr>
        <w:t>三、支出决算公开表</w:t>
      </w:r>
      <w:bookmarkEnd w:id="38"/>
      <w:bookmarkEnd w:id="39"/>
      <w:bookmarkEnd w:id="40"/>
      <w:bookmarkEnd w:id="41"/>
      <w:bookmarkEnd w:id="42"/>
      <w:bookmarkEnd w:id="43"/>
      <w:bookmarkStart w:id="44" w:name="_Toc4265_WPSOffice_Level2"/>
      <w:bookmarkStart w:id="45" w:name="_Toc23493_WPSOffice_Level2"/>
      <w:bookmarkStart w:id="46" w:name="_Toc21415_WPSOffice_Level2"/>
      <w:bookmarkStart w:id="47" w:name="_Toc23591_WPSOffice_Level2"/>
      <w:bookmarkStart w:id="48" w:name="_Toc7988_WPSOffice_Level2"/>
      <w:bookmarkStart w:id="49" w:name="_Toc13701_WPSOffice_Level2"/>
    </w:p>
    <w:p w14:paraId="4C48E2BD">
      <w:pPr>
        <w:spacing w:line="578" w:lineRule="exact"/>
        <w:ind w:firstLine="645"/>
        <w:rPr>
          <w:rFonts w:hint="eastAsia" w:ascii="黑体" w:hAnsi="黑体" w:eastAsia="黑体" w:cs="黑体"/>
          <w:color w:val="auto"/>
          <w:sz w:val="32"/>
          <w:szCs w:val="32"/>
        </w:rPr>
      </w:pPr>
      <w:r>
        <w:rPr>
          <w:rFonts w:hint="eastAsia" w:ascii="黑体" w:hAnsi="黑体" w:eastAsia="黑体" w:cs="黑体"/>
          <w:color w:val="auto"/>
          <w:sz w:val="32"/>
          <w:szCs w:val="32"/>
        </w:rPr>
        <w:t>四、财政拨款收入支出决算公开表</w:t>
      </w:r>
      <w:bookmarkEnd w:id="44"/>
      <w:bookmarkEnd w:id="45"/>
      <w:bookmarkEnd w:id="46"/>
      <w:bookmarkEnd w:id="47"/>
      <w:bookmarkEnd w:id="48"/>
      <w:bookmarkEnd w:id="49"/>
    </w:p>
    <w:p w14:paraId="655F492E">
      <w:pPr>
        <w:spacing w:line="578" w:lineRule="exact"/>
        <w:ind w:firstLine="645"/>
        <w:rPr>
          <w:rFonts w:hint="eastAsia" w:ascii="黑体" w:hAnsi="黑体" w:eastAsia="黑体" w:cs="黑体"/>
          <w:color w:val="auto"/>
          <w:sz w:val="32"/>
          <w:szCs w:val="32"/>
        </w:rPr>
      </w:pPr>
      <w:bookmarkStart w:id="50" w:name="_Toc25166_WPSOffice_Level2"/>
      <w:bookmarkStart w:id="51" w:name="_Toc7879_WPSOffice_Level2"/>
      <w:bookmarkStart w:id="52" w:name="_Toc23829_WPSOffice_Level2"/>
      <w:bookmarkStart w:id="53" w:name="_Toc22783_WPSOffice_Level2"/>
      <w:bookmarkStart w:id="54" w:name="_Toc2158_WPSOffice_Level2"/>
      <w:bookmarkStart w:id="55" w:name="_Toc13516_WPSOffice_Level2"/>
      <w:r>
        <w:rPr>
          <w:rFonts w:hint="eastAsia" w:ascii="黑体" w:hAnsi="黑体" w:eastAsia="黑体" w:cs="黑体"/>
          <w:color w:val="auto"/>
          <w:sz w:val="32"/>
          <w:szCs w:val="32"/>
        </w:rPr>
        <w:t>五、一般公共预算财政拨款收入支出决算</w:t>
      </w:r>
      <w:bookmarkEnd w:id="50"/>
      <w:bookmarkEnd w:id="51"/>
      <w:bookmarkEnd w:id="52"/>
      <w:bookmarkEnd w:id="53"/>
      <w:r>
        <w:rPr>
          <w:rFonts w:hint="eastAsia" w:ascii="黑体" w:hAnsi="黑体" w:eastAsia="黑体" w:cs="黑体"/>
          <w:color w:val="auto"/>
          <w:sz w:val="32"/>
          <w:szCs w:val="32"/>
        </w:rPr>
        <w:t>公开表</w:t>
      </w:r>
      <w:bookmarkEnd w:id="54"/>
      <w:bookmarkEnd w:id="55"/>
      <w:bookmarkStart w:id="56" w:name="_Toc5343_WPSOffice_Level2"/>
      <w:bookmarkStart w:id="57" w:name="_Toc8373_WPSOffice_Level2"/>
      <w:bookmarkStart w:id="58" w:name="_Toc17283_WPSOffice_Level2"/>
      <w:bookmarkStart w:id="59" w:name="_Toc2632_WPSOffice_Level2"/>
      <w:bookmarkStart w:id="60" w:name="_Toc25362_WPSOffice_Level2"/>
      <w:bookmarkStart w:id="61" w:name="_Toc17833_WPSOffice_Level2"/>
    </w:p>
    <w:p w14:paraId="550B8042">
      <w:pPr>
        <w:spacing w:line="578" w:lineRule="exact"/>
        <w:ind w:firstLine="645"/>
        <w:rPr>
          <w:rFonts w:hint="eastAsia" w:ascii="黑体" w:hAnsi="黑体" w:eastAsia="黑体" w:cs="黑体"/>
          <w:color w:val="auto"/>
          <w:sz w:val="32"/>
          <w:szCs w:val="32"/>
        </w:rPr>
      </w:pPr>
      <w:r>
        <w:rPr>
          <w:rFonts w:hint="eastAsia" w:ascii="黑体" w:hAnsi="黑体" w:eastAsia="黑体" w:cs="黑体"/>
          <w:color w:val="auto"/>
          <w:sz w:val="32"/>
          <w:szCs w:val="32"/>
        </w:rPr>
        <w:t>六、一般公共预算财政拨款基本支出决算</w:t>
      </w:r>
      <w:bookmarkEnd w:id="56"/>
      <w:bookmarkEnd w:id="57"/>
      <w:bookmarkEnd w:id="58"/>
      <w:bookmarkEnd w:id="59"/>
      <w:bookmarkEnd w:id="60"/>
      <w:bookmarkEnd w:id="61"/>
      <w:r>
        <w:rPr>
          <w:rFonts w:hint="eastAsia" w:ascii="黑体" w:hAnsi="黑体" w:eastAsia="黑体" w:cs="黑体"/>
          <w:color w:val="auto"/>
          <w:sz w:val="32"/>
          <w:szCs w:val="32"/>
        </w:rPr>
        <w:t>公开表</w:t>
      </w:r>
    </w:p>
    <w:p w14:paraId="10CDCBDE">
      <w:pPr>
        <w:spacing w:line="578" w:lineRule="exact"/>
        <w:ind w:left="1118" w:leftChars="304" w:hanging="480" w:hangingChars="150"/>
        <w:rPr>
          <w:rFonts w:hint="eastAsia" w:ascii="黑体" w:hAnsi="黑体" w:eastAsia="黑体" w:cs="黑体"/>
          <w:color w:val="auto"/>
          <w:sz w:val="32"/>
          <w:szCs w:val="32"/>
        </w:rPr>
      </w:pPr>
      <w:bookmarkStart w:id="62" w:name="_Toc11799_WPSOffice_Level2"/>
      <w:bookmarkStart w:id="63" w:name="_Toc13345_WPSOffice_Level2"/>
      <w:bookmarkStart w:id="64" w:name="_Toc5594_WPSOffice_Level2"/>
      <w:bookmarkStart w:id="65" w:name="_Toc1533_WPSOffice_Level2"/>
      <w:bookmarkStart w:id="66" w:name="_Toc21310_WPSOffice_Level2"/>
      <w:bookmarkStart w:id="67" w:name="_Toc6020_WPSOffice_Level2"/>
      <w:r>
        <w:rPr>
          <w:rFonts w:hint="eastAsia" w:ascii="黑体" w:hAnsi="黑体" w:eastAsia="黑体" w:cs="黑体"/>
          <w:color w:val="auto"/>
          <w:sz w:val="32"/>
          <w:szCs w:val="32"/>
        </w:rPr>
        <w:t>七、政府性基金预算财政拨款收入支出决算</w:t>
      </w:r>
      <w:bookmarkEnd w:id="62"/>
      <w:bookmarkEnd w:id="63"/>
      <w:bookmarkEnd w:id="64"/>
      <w:bookmarkEnd w:id="65"/>
      <w:bookmarkEnd w:id="66"/>
      <w:bookmarkEnd w:id="67"/>
      <w:r>
        <w:rPr>
          <w:rFonts w:hint="eastAsia" w:ascii="黑体" w:hAnsi="黑体" w:eastAsia="黑体" w:cs="黑体"/>
          <w:color w:val="auto"/>
          <w:sz w:val="32"/>
          <w:szCs w:val="32"/>
        </w:rPr>
        <w:t>公开表</w:t>
      </w:r>
    </w:p>
    <w:p w14:paraId="155A26D9">
      <w:pPr>
        <w:spacing w:line="578" w:lineRule="exact"/>
        <w:ind w:left="1118" w:leftChars="304" w:hanging="480" w:hangingChars="150"/>
        <w:rPr>
          <w:rFonts w:hint="eastAsia" w:ascii="黑体" w:hAnsi="黑体" w:eastAsia="黑体" w:cs="黑体"/>
          <w:color w:val="auto"/>
          <w:sz w:val="32"/>
          <w:szCs w:val="32"/>
        </w:rPr>
      </w:pPr>
      <w:r>
        <w:rPr>
          <w:rFonts w:hint="eastAsia" w:ascii="黑体" w:hAnsi="黑体" w:eastAsia="黑体" w:cs="黑体"/>
          <w:color w:val="auto"/>
          <w:sz w:val="32"/>
          <w:szCs w:val="32"/>
        </w:rPr>
        <w:t>八、国有资本经营预算财政拨款收入支出决算公开表</w:t>
      </w:r>
    </w:p>
    <w:p w14:paraId="1158FE33">
      <w:pPr>
        <w:spacing w:line="578" w:lineRule="exact"/>
        <w:ind w:firstLine="640"/>
        <w:rPr>
          <w:rFonts w:hint="eastAsia" w:ascii="黑体" w:hAnsi="黑体" w:eastAsia="黑体" w:cs="黑体"/>
          <w:color w:val="auto"/>
          <w:sz w:val="32"/>
          <w:szCs w:val="32"/>
        </w:rPr>
      </w:pPr>
      <w:bookmarkStart w:id="68" w:name="_Toc19961_WPSOffice_Level2"/>
      <w:bookmarkStart w:id="69" w:name="_Toc9377_WPSOffice_Level2"/>
      <w:bookmarkStart w:id="70" w:name="_Toc29886_WPSOffice_Level2"/>
      <w:bookmarkStart w:id="71" w:name="_Toc1820_WPSOffice_Level2"/>
      <w:r>
        <w:rPr>
          <w:rFonts w:hint="eastAsia" w:ascii="黑体" w:hAnsi="黑体" w:eastAsia="黑体" w:cs="黑体"/>
          <w:color w:val="auto"/>
          <w:sz w:val="32"/>
          <w:szCs w:val="32"/>
        </w:rPr>
        <w:t>九、财政拨款“三公”经费支出决算</w:t>
      </w:r>
      <w:bookmarkEnd w:id="68"/>
      <w:bookmarkEnd w:id="69"/>
      <w:bookmarkEnd w:id="70"/>
      <w:bookmarkEnd w:id="71"/>
      <w:r>
        <w:rPr>
          <w:rFonts w:hint="eastAsia" w:ascii="黑体" w:hAnsi="黑体" w:eastAsia="黑体" w:cs="黑体"/>
          <w:color w:val="auto"/>
          <w:sz w:val="32"/>
          <w:szCs w:val="32"/>
        </w:rPr>
        <w:t>公开表</w:t>
      </w:r>
    </w:p>
    <w:p w14:paraId="048C6C4A">
      <w:pPr>
        <w:spacing w:line="578" w:lineRule="exact"/>
        <w:ind w:firstLine="640"/>
        <w:rPr>
          <w:rFonts w:hint="eastAsia" w:ascii="仿宋" w:hAnsi="仿宋" w:eastAsia="仿宋" w:cs="仿宋"/>
          <w:color w:val="auto"/>
          <w:w w:val="100"/>
          <w:sz w:val="32"/>
          <w:szCs w:val="32"/>
        </w:rPr>
      </w:pPr>
      <w:r>
        <w:rPr>
          <w:rFonts w:hint="eastAsia" w:ascii="仿宋" w:hAnsi="仿宋" w:eastAsia="仿宋" w:cs="仿宋"/>
          <w:color w:val="auto"/>
          <w:w w:val="100"/>
          <w:sz w:val="32"/>
          <w:szCs w:val="32"/>
        </w:rPr>
        <w:t xml:space="preserve">以上报表见附件1。   </w:t>
      </w:r>
    </w:p>
    <w:p w14:paraId="28228095">
      <w:pPr>
        <w:spacing w:line="578" w:lineRule="exact"/>
        <w:rPr>
          <w:rFonts w:hint="eastAsia" w:ascii="黑体" w:hAnsi="黑体" w:eastAsia="黑体" w:cs="黑体"/>
          <w:color w:val="auto"/>
          <w:sz w:val="32"/>
          <w:szCs w:val="32"/>
        </w:rPr>
      </w:pPr>
    </w:p>
    <w:p w14:paraId="41342747">
      <w:pPr>
        <w:spacing w:line="578" w:lineRule="exact"/>
        <w:jc w:val="center"/>
        <w:rPr>
          <w:rFonts w:hint="eastAsia" w:ascii="黑体" w:hAnsi="ˎ̥" w:eastAsia="黑体"/>
          <w:color w:val="auto"/>
          <w:sz w:val="32"/>
          <w:szCs w:val="32"/>
        </w:rPr>
      </w:pPr>
      <w:bookmarkStart w:id="72" w:name="_Toc28629_WPSOffice_Level1"/>
      <w:bookmarkStart w:id="73" w:name="_Toc29683_WPSOffice_Level1"/>
      <w:bookmarkStart w:id="74" w:name="_Toc27590_WPSOffice_Level1"/>
      <w:bookmarkStart w:id="75" w:name="_Toc31264_WPSOffice_Level1"/>
      <w:bookmarkStart w:id="76" w:name="_Toc4402_WPSOffice_Level1"/>
      <w:bookmarkStart w:id="77" w:name="_Toc16686_WPSOffice_Level1"/>
      <w:r>
        <w:rPr>
          <w:rFonts w:hint="eastAsia" w:ascii="黑体" w:hAnsi="ˎ̥" w:eastAsia="黑体"/>
          <w:color w:val="auto"/>
          <w:sz w:val="32"/>
          <w:szCs w:val="32"/>
        </w:rPr>
        <w:t xml:space="preserve">第三部分  </w:t>
      </w:r>
      <w:r>
        <w:rPr>
          <w:rFonts w:hint="default" w:ascii="黑体" w:hAnsi="ˎ̥" w:eastAsia="黑体"/>
          <w:color w:val="auto"/>
          <w:sz w:val="32"/>
          <w:szCs w:val="32"/>
          <w:lang w:val="en-US"/>
        </w:rPr>
        <w:t>2024</w:t>
      </w:r>
      <w:r>
        <w:rPr>
          <w:rFonts w:hint="eastAsia" w:ascii="黑体" w:hAnsi="ˎ̥" w:eastAsia="黑体"/>
          <w:color w:val="auto"/>
          <w:sz w:val="32"/>
          <w:szCs w:val="32"/>
        </w:rPr>
        <w:t>年度部门决算情况说明</w:t>
      </w:r>
      <w:bookmarkEnd w:id="72"/>
      <w:bookmarkEnd w:id="73"/>
      <w:bookmarkEnd w:id="74"/>
      <w:bookmarkEnd w:id="75"/>
      <w:bookmarkEnd w:id="76"/>
      <w:bookmarkEnd w:id="77"/>
    </w:p>
    <w:p w14:paraId="348EB481">
      <w:pPr>
        <w:spacing w:line="578" w:lineRule="exact"/>
        <w:jc w:val="center"/>
        <w:rPr>
          <w:rFonts w:hint="eastAsia" w:ascii="黑体" w:hAnsi="ˎ̥" w:eastAsia="黑体"/>
          <w:color w:val="auto"/>
          <w:sz w:val="32"/>
          <w:szCs w:val="32"/>
        </w:rPr>
      </w:pPr>
    </w:p>
    <w:p w14:paraId="2A47AFD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hAnsi="ˎ̥" w:eastAsia="仿宋_GB2312"/>
          <w:color w:val="auto"/>
          <w:sz w:val="32"/>
          <w:szCs w:val="32"/>
        </w:rPr>
      </w:pPr>
      <w:r>
        <w:rPr>
          <w:rFonts w:hint="eastAsia" w:ascii="黑体" w:hAnsi="黑体" w:eastAsia="黑体" w:cs="黑体"/>
          <w:bCs/>
          <w:color w:val="auto"/>
          <w:sz w:val="32"/>
          <w:szCs w:val="32"/>
        </w:rPr>
        <w:t>一、收入支出总体情况说明</w:t>
      </w:r>
      <w:r>
        <w:rPr>
          <w:rFonts w:hint="eastAsia" w:ascii="黑体" w:hAnsi="黑体" w:eastAsia="黑体" w:cs="黑体"/>
          <w:bCs/>
          <w:color w:val="auto"/>
          <w:sz w:val="32"/>
          <w:szCs w:val="32"/>
        </w:rPr>
        <w:br w:type="textWrapping"/>
      </w:r>
      <w:r>
        <w:rPr>
          <w:rFonts w:hint="eastAsia" w:ascii="楷体_GB2312" w:hAnsi="ˎ̥" w:eastAsia="楷体_GB2312"/>
          <w:color w:val="auto"/>
          <w:sz w:val="32"/>
          <w:szCs w:val="32"/>
        </w:rPr>
        <w:t xml:space="preserve">    </w:t>
      </w:r>
      <w:r>
        <w:rPr>
          <w:rFonts w:hint="default" w:ascii="仿宋_GB2312" w:hAnsi="ˎ̥" w:eastAsia="仿宋_GB2312"/>
          <w:color w:val="auto"/>
          <w:sz w:val="32"/>
          <w:szCs w:val="32"/>
          <w:lang w:val="en-US"/>
        </w:rPr>
        <w:t>2024</w:t>
      </w:r>
      <w:r>
        <w:rPr>
          <w:rFonts w:hint="eastAsia" w:ascii="仿宋_GB2312" w:hAnsi="ˎ̥" w:eastAsia="仿宋_GB2312"/>
          <w:color w:val="auto"/>
          <w:sz w:val="32"/>
          <w:szCs w:val="32"/>
        </w:rPr>
        <w:t>年度收入总计</w:t>
      </w:r>
      <w:r>
        <w:rPr>
          <w:rFonts w:hint="eastAsia" w:ascii="仿宋_GB2312" w:hAnsi="ˎ̥" w:eastAsia="仿宋_GB2312"/>
          <w:color w:val="auto"/>
          <w:sz w:val="32"/>
          <w:szCs w:val="32"/>
          <w:lang w:val="en-US" w:eastAsia="zh-CN"/>
        </w:rPr>
        <w:t>2081.77</w:t>
      </w:r>
      <w:r>
        <w:rPr>
          <w:rFonts w:hint="eastAsia" w:ascii="仿宋_GB2312" w:hAnsi="ˎ̥" w:eastAsia="仿宋_GB2312"/>
          <w:color w:val="auto"/>
          <w:sz w:val="32"/>
          <w:szCs w:val="32"/>
        </w:rPr>
        <w:t>万元，支出总计</w:t>
      </w:r>
      <w:r>
        <w:rPr>
          <w:rFonts w:hint="eastAsia" w:ascii="仿宋_GB2312" w:hAnsi="ˎ̥" w:eastAsia="仿宋_GB2312"/>
          <w:color w:val="auto"/>
          <w:sz w:val="32"/>
          <w:szCs w:val="32"/>
          <w:lang w:val="en-US" w:eastAsia="zh-CN"/>
        </w:rPr>
        <w:t>2081.77</w:t>
      </w:r>
      <w:r>
        <w:rPr>
          <w:rFonts w:hint="eastAsia" w:ascii="仿宋_GB2312" w:hAnsi="ˎ̥" w:eastAsia="仿宋_GB2312"/>
          <w:color w:val="auto"/>
          <w:sz w:val="32"/>
          <w:szCs w:val="32"/>
        </w:rPr>
        <w:t>万元，与</w:t>
      </w:r>
      <w:r>
        <w:rPr>
          <w:rFonts w:hint="default" w:ascii="仿宋_GB2312" w:hAnsi="ˎ̥" w:eastAsia="仿宋_GB2312"/>
          <w:color w:val="auto"/>
          <w:sz w:val="32"/>
          <w:szCs w:val="32"/>
          <w:lang w:val="en-US"/>
        </w:rPr>
        <w:t>2023</w:t>
      </w:r>
      <w:r>
        <w:rPr>
          <w:rFonts w:hint="eastAsia" w:ascii="仿宋_GB2312" w:hAnsi="ˎ̥" w:eastAsia="仿宋_GB2312"/>
          <w:color w:val="auto"/>
          <w:sz w:val="32"/>
          <w:szCs w:val="32"/>
        </w:rPr>
        <w:t>年度相比，收入</w:t>
      </w:r>
      <w:r>
        <w:rPr>
          <w:rFonts w:hint="eastAsia" w:ascii="仿宋_GB2312" w:hAnsi="ˎ̥" w:eastAsia="仿宋_GB2312"/>
          <w:color w:val="auto"/>
          <w:sz w:val="32"/>
          <w:szCs w:val="32"/>
          <w:lang w:eastAsia="zh-CN"/>
        </w:rPr>
        <w:t>、支出总计各减少</w:t>
      </w:r>
      <w:r>
        <w:rPr>
          <w:rFonts w:hint="eastAsia" w:ascii="仿宋_GB2312" w:hAnsi="ˎ̥" w:eastAsia="仿宋_GB2312"/>
          <w:color w:val="auto"/>
          <w:sz w:val="32"/>
          <w:szCs w:val="32"/>
          <w:lang w:val="en-US" w:eastAsia="zh-CN"/>
        </w:rPr>
        <w:t>564.88</w:t>
      </w:r>
      <w:r>
        <w:rPr>
          <w:rFonts w:hint="eastAsia" w:ascii="仿宋_GB2312" w:hAnsi="ˎ̥" w:eastAsia="仿宋_GB2312"/>
          <w:color w:val="auto"/>
          <w:sz w:val="32"/>
          <w:szCs w:val="32"/>
          <w:lang w:eastAsia="zh-CN"/>
        </w:rPr>
        <w:t>万元，下降</w:t>
      </w:r>
      <w:r>
        <w:rPr>
          <w:rFonts w:hint="eastAsia" w:ascii="仿宋_GB2312" w:hAnsi="ˎ̥" w:eastAsia="仿宋_GB2312"/>
          <w:color w:val="auto"/>
          <w:sz w:val="32"/>
          <w:szCs w:val="32"/>
          <w:lang w:val="en-US" w:eastAsia="zh-CN"/>
        </w:rPr>
        <w:t>21.34%。</w:t>
      </w:r>
      <w:r>
        <w:rPr>
          <w:rFonts w:hint="eastAsia" w:ascii="仿宋_GB2312" w:hAnsi="ˎ̥" w:eastAsia="仿宋_GB2312"/>
          <w:color w:val="auto"/>
          <w:sz w:val="32"/>
          <w:szCs w:val="32"/>
        </w:rPr>
        <w:t>主要原因</w:t>
      </w:r>
      <w:r>
        <w:rPr>
          <w:rFonts w:hint="eastAsia" w:ascii="仿宋_GB2312" w:hAnsi="ˎ̥" w:eastAsia="仿宋_GB2312"/>
          <w:color w:val="auto"/>
          <w:sz w:val="32"/>
          <w:szCs w:val="32"/>
          <w:lang w:eastAsia="zh-CN"/>
        </w:rPr>
        <w:t>：单位财政项目减少资金投入减少</w:t>
      </w:r>
      <w:r>
        <w:rPr>
          <w:rFonts w:hint="eastAsia" w:ascii="仿宋_GB2312" w:hAnsi="ˎ̥" w:eastAsia="仿宋_GB2312"/>
          <w:color w:val="auto"/>
          <w:sz w:val="32"/>
          <w:szCs w:val="32"/>
        </w:rPr>
        <w:t>。</w:t>
      </w:r>
    </w:p>
    <w:p w14:paraId="7D66DA8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楷体" w:hAnsi="楷体" w:eastAsia="楷体" w:cs="楷体"/>
          <w:color w:val="auto"/>
          <w:sz w:val="32"/>
          <w:szCs w:val="32"/>
        </w:rPr>
      </w:pPr>
      <w:r>
        <w:rPr>
          <w:rFonts w:hint="eastAsia" w:ascii="楷体" w:hAnsi="楷体" w:eastAsia="楷体" w:cs="楷体"/>
          <w:color w:val="auto"/>
          <w:sz w:val="32"/>
          <w:szCs w:val="32"/>
        </w:rPr>
        <w:t>（一</w:t>
      </w:r>
      <w:r>
        <w:rPr>
          <w:rFonts w:ascii="楷体" w:hAnsi="楷体" w:eastAsia="楷体" w:cs="楷体"/>
          <w:color w:val="auto"/>
          <w:sz w:val="32"/>
          <w:szCs w:val="32"/>
        </w:rPr>
        <w:t>）</w:t>
      </w:r>
      <w:r>
        <w:rPr>
          <w:rFonts w:hint="eastAsia" w:ascii="楷体" w:hAnsi="楷体" w:eastAsia="楷体" w:cs="楷体"/>
          <w:color w:val="auto"/>
          <w:sz w:val="32"/>
          <w:szCs w:val="32"/>
        </w:rPr>
        <w:t>收入</w:t>
      </w:r>
      <w:r>
        <w:rPr>
          <w:rFonts w:ascii="楷体" w:hAnsi="楷体" w:eastAsia="楷体" w:cs="楷体"/>
          <w:color w:val="auto"/>
          <w:sz w:val="32"/>
          <w:szCs w:val="32"/>
        </w:rPr>
        <w:t>总计</w:t>
      </w:r>
      <w:r>
        <w:rPr>
          <w:rFonts w:hint="eastAsia" w:ascii="楷体" w:hAnsi="楷体" w:eastAsia="楷体" w:cs="楷体"/>
          <w:color w:val="auto"/>
          <w:sz w:val="32"/>
          <w:szCs w:val="32"/>
        </w:rPr>
        <w:t>主要</w:t>
      </w:r>
      <w:r>
        <w:rPr>
          <w:rFonts w:ascii="楷体" w:hAnsi="楷体" w:eastAsia="楷体" w:cs="楷体"/>
          <w:color w:val="auto"/>
          <w:sz w:val="32"/>
          <w:szCs w:val="32"/>
        </w:rPr>
        <w:t>构成</w:t>
      </w:r>
    </w:p>
    <w:p w14:paraId="2819B59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hAnsi="ˎ̥" w:eastAsia="仿宋_GB2312"/>
          <w:color w:val="auto"/>
          <w:sz w:val="32"/>
          <w:szCs w:val="32"/>
        </w:rPr>
      </w:pPr>
      <w:r>
        <w:rPr>
          <w:rFonts w:hint="eastAsia" w:ascii="仿宋_GB2312" w:hAnsi="ˎ̥" w:eastAsia="仿宋_GB2312"/>
          <w:color w:val="auto"/>
          <w:sz w:val="32"/>
          <w:szCs w:val="32"/>
        </w:rPr>
        <w:t>本年</w:t>
      </w:r>
      <w:r>
        <w:rPr>
          <w:rFonts w:ascii="仿宋_GB2312" w:hAnsi="ˎ̥" w:eastAsia="仿宋_GB2312"/>
          <w:color w:val="auto"/>
          <w:sz w:val="32"/>
          <w:szCs w:val="32"/>
        </w:rPr>
        <w:t>收入</w:t>
      </w:r>
      <w:r>
        <w:rPr>
          <w:rFonts w:hint="eastAsia" w:ascii="仿宋_GB2312" w:hAnsi="ˎ̥" w:eastAsia="仿宋_GB2312"/>
          <w:color w:val="auto"/>
          <w:sz w:val="32"/>
          <w:szCs w:val="32"/>
          <w:lang w:val="en-US" w:eastAsia="zh-CN"/>
        </w:rPr>
        <w:t>2081.77</w:t>
      </w:r>
      <w:r>
        <w:rPr>
          <w:rFonts w:hint="eastAsia" w:ascii="仿宋_GB2312" w:hAnsi="ˎ̥" w:eastAsia="仿宋_GB2312"/>
          <w:color w:val="auto"/>
          <w:sz w:val="32"/>
          <w:szCs w:val="32"/>
        </w:rPr>
        <w:t>万元。</w:t>
      </w:r>
    </w:p>
    <w:p w14:paraId="7F3C787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hAnsi="ˎ̥" w:eastAsia="仿宋_GB2312"/>
          <w:color w:val="auto"/>
          <w:sz w:val="32"/>
          <w:szCs w:val="32"/>
        </w:rPr>
      </w:pPr>
      <w:r>
        <w:rPr>
          <w:rFonts w:hint="eastAsia" w:ascii="仿宋_GB2312" w:hAnsi="ˎ̥" w:eastAsia="仿宋_GB2312"/>
          <w:color w:val="auto"/>
          <w:sz w:val="32"/>
          <w:szCs w:val="32"/>
        </w:rPr>
        <w:t>使用非财政拨款结余</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万元，较</w:t>
      </w:r>
      <w:r>
        <w:rPr>
          <w:rFonts w:hint="default" w:ascii="仿宋_GB2312" w:hAnsi="ˎ̥" w:eastAsia="仿宋_GB2312"/>
          <w:color w:val="auto"/>
          <w:sz w:val="32"/>
          <w:szCs w:val="32"/>
          <w:lang w:val="en-US"/>
        </w:rPr>
        <w:t>2023</w:t>
      </w:r>
      <w:r>
        <w:rPr>
          <w:rFonts w:hint="eastAsia" w:ascii="仿宋_GB2312" w:hAnsi="ˎ̥" w:eastAsia="仿宋_GB2312"/>
          <w:color w:val="auto"/>
          <w:sz w:val="32"/>
          <w:szCs w:val="32"/>
        </w:rPr>
        <w:t>年度决算数增加</w:t>
      </w:r>
      <w:r>
        <w:rPr>
          <w:rFonts w:hint="eastAsia" w:ascii="仿宋_GB2312" w:hAnsi="ˎ̥" w:eastAsia="仿宋_GB2312"/>
          <w:color w:val="auto"/>
          <w:sz w:val="32"/>
          <w:szCs w:val="32"/>
          <w:lang w:eastAsia="zh-CN"/>
        </w:rPr>
        <w:t>（减少）</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万元。</w:t>
      </w:r>
    </w:p>
    <w:p w14:paraId="38E14CB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hAnsi="ˎ̥" w:eastAsia="仿宋_GB2312"/>
          <w:color w:val="auto"/>
          <w:sz w:val="32"/>
          <w:szCs w:val="32"/>
        </w:rPr>
      </w:pPr>
      <w:r>
        <w:rPr>
          <w:rFonts w:hint="eastAsia" w:ascii="仿宋_GB2312" w:hAnsi="ˎ̥" w:eastAsia="仿宋_GB2312"/>
          <w:color w:val="auto"/>
          <w:sz w:val="32"/>
          <w:szCs w:val="32"/>
        </w:rPr>
        <w:t>年初结转结余</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万元，较</w:t>
      </w:r>
      <w:r>
        <w:rPr>
          <w:rFonts w:hint="default" w:ascii="仿宋_GB2312" w:hAnsi="ˎ̥" w:eastAsia="仿宋_GB2312"/>
          <w:color w:val="auto"/>
          <w:sz w:val="32"/>
          <w:szCs w:val="32"/>
          <w:lang w:val="en-US"/>
        </w:rPr>
        <w:t>2023</w:t>
      </w:r>
      <w:r>
        <w:rPr>
          <w:rFonts w:hint="eastAsia" w:ascii="仿宋_GB2312" w:hAnsi="ˎ̥" w:eastAsia="仿宋_GB2312"/>
          <w:color w:val="auto"/>
          <w:sz w:val="32"/>
          <w:szCs w:val="32"/>
        </w:rPr>
        <w:t>年度决算数增加</w:t>
      </w:r>
      <w:r>
        <w:rPr>
          <w:rFonts w:hint="eastAsia" w:ascii="仿宋_GB2312" w:hAnsi="ˎ̥" w:eastAsia="仿宋_GB2312"/>
          <w:color w:val="auto"/>
          <w:sz w:val="32"/>
          <w:szCs w:val="32"/>
          <w:lang w:eastAsia="zh-CN"/>
        </w:rPr>
        <w:t>（减少）</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万元，</w:t>
      </w:r>
      <w:r>
        <w:rPr>
          <w:rFonts w:hint="eastAsia" w:ascii="仿宋_GB2312" w:hAnsi="ˎ̥" w:eastAsia="仿宋_GB2312"/>
          <w:color w:val="auto"/>
          <w:sz w:val="32"/>
          <w:szCs w:val="32"/>
          <w:lang w:eastAsia="zh-CN"/>
        </w:rPr>
        <w:t>增长（下降）</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w:t>
      </w:r>
    </w:p>
    <w:p w14:paraId="2CDD1C0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lang w:eastAsia="zh-CN"/>
        </w:rPr>
      </w:pPr>
      <w:r>
        <w:rPr>
          <w:rFonts w:hint="eastAsia" w:ascii="楷体" w:hAnsi="楷体" w:eastAsia="楷体" w:cs="楷体"/>
          <w:color w:val="auto"/>
          <w:sz w:val="32"/>
          <w:szCs w:val="32"/>
        </w:rPr>
        <w:t>（二</w:t>
      </w:r>
      <w:r>
        <w:rPr>
          <w:rFonts w:ascii="楷体" w:hAnsi="楷体" w:eastAsia="楷体" w:cs="楷体"/>
          <w:color w:val="auto"/>
          <w:sz w:val="32"/>
          <w:szCs w:val="32"/>
        </w:rPr>
        <w:t>）</w:t>
      </w:r>
      <w:r>
        <w:rPr>
          <w:rFonts w:hint="eastAsia" w:ascii="楷体" w:hAnsi="楷体" w:eastAsia="楷体" w:cs="楷体"/>
          <w:color w:val="auto"/>
          <w:sz w:val="32"/>
          <w:szCs w:val="32"/>
        </w:rPr>
        <w:t>支出</w:t>
      </w:r>
      <w:r>
        <w:rPr>
          <w:rFonts w:ascii="楷体" w:hAnsi="楷体" w:eastAsia="楷体" w:cs="楷体"/>
          <w:color w:val="auto"/>
          <w:sz w:val="32"/>
          <w:szCs w:val="32"/>
        </w:rPr>
        <w:t>总计</w:t>
      </w:r>
      <w:r>
        <w:rPr>
          <w:rFonts w:hint="eastAsia" w:ascii="楷体" w:hAnsi="楷体" w:eastAsia="楷体" w:cs="楷体"/>
          <w:color w:val="auto"/>
          <w:sz w:val="32"/>
          <w:szCs w:val="32"/>
        </w:rPr>
        <w:t>主要</w:t>
      </w:r>
      <w:r>
        <w:rPr>
          <w:rFonts w:ascii="楷体" w:hAnsi="楷体" w:eastAsia="楷体" w:cs="楷体"/>
          <w:color w:val="auto"/>
          <w:sz w:val="32"/>
          <w:szCs w:val="32"/>
        </w:rPr>
        <w:t>构成</w:t>
      </w:r>
    </w:p>
    <w:p w14:paraId="4E18456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_GB2312" w:hAnsi="ˎ̥" w:eastAsia="仿宋_GB2312"/>
          <w:color w:val="auto"/>
          <w:sz w:val="32"/>
          <w:szCs w:val="32"/>
        </w:rPr>
        <w:t>本年支出</w:t>
      </w:r>
      <w:r>
        <w:rPr>
          <w:rFonts w:hint="eastAsia" w:ascii="仿宋_GB2312" w:hAnsi="ˎ̥" w:eastAsia="仿宋_GB2312"/>
          <w:color w:val="auto"/>
          <w:sz w:val="32"/>
          <w:szCs w:val="32"/>
          <w:lang w:val="en-US" w:eastAsia="zh-CN"/>
        </w:rPr>
        <w:t>2081.77</w:t>
      </w:r>
      <w:r>
        <w:rPr>
          <w:rFonts w:hint="eastAsia" w:ascii="仿宋_GB2312" w:hAnsi="ˎ̥" w:eastAsia="仿宋_GB2312"/>
          <w:color w:val="auto"/>
          <w:sz w:val="32"/>
          <w:szCs w:val="32"/>
        </w:rPr>
        <w:t>万元。</w:t>
      </w:r>
    </w:p>
    <w:p w14:paraId="2CBB96B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hAnsi="ˎ̥" w:eastAsia="仿宋_GB2312"/>
          <w:color w:val="auto"/>
          <w:sz w:val="32"/>
          <w:szCs w:val="32"/>
        </w:rPr>
      </w:pPr>
      <w:r>
        <w:rPr>
          <w:rFonts w:hint="eastAsia" w:ascii="仿宋_GB2312" w:hAnsi="ˎ̥" w:eastAsia="仿宋_GB2312"/>
          <w:color w:val="auto"/>
          <w:sz w:val="32"/>
          <w:szCs w:val="32"/>
        </w:rPr>
        <w:t>使用非财政拨款结余</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万元，较</w:t>
      </w:r>
      <w:r>
        <w:rPr>
          <w:rFonts w:hint="default" w:ascii="仿宋_GB2312" w:hAnsi="ˎ̥" w:eastAsia="仿宋_GB2312"/>
          <w:color w:val="auto"/>
          <w:sz w:val="32"/>
          <w:szCs w:val="32"/>
          <w:lang w:val="en-US"/>
        </w:rPr>
        <w:t>2023</w:t>
      </w:r>
      <w:r>
        <w:rPr>
          <w:rFonts w:hint="eastAsia" w:ascii="仿宋_GB2312" w:hAnsi="ˎ̥" w:eastAsia="仿宋_GB2312"/>
          <w:color w:val="auto"/>
          <w:sz w:val="32"/>
          <w:szCs w:val="32"/>
        </w:rPr>
        <w:t>年度决算数增加</w:t>
      </w:r>
      <w:r>
        <w:rPr>
          <w:rFonts w:hint="eastAsia" w:ascii="仿宋_GB2312" w:hAnsi="ˎ̥" w:eastAsia="仿宋_GB2312"/>
          <w:color w:val="auto"/>
          <w:sz w:val="32"/>
          <w:szCs w:val="32"/>
          <w:lang w:eastAsia="zh-CN"/>
        </w:rPr>
        <w:t>（减少）</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万元，</w:t>
      </w:r>
      <w:r>
        <w:rPr>
          <w:rFonts w:hint="eastAsia" w:ascii="仿宋_GB2312" w:hAnsi="ˎ̥" w:eastAsia="仿宋_GB2312"/>
          <w:color w:val="auto"/>
          <w:sz w:val="32"/>
          <w:szCs w:val="32"/>
          <w:lang w:eastAsia="zh-CN"/>
        </w:rPr>
        <w:t>增长（下降）</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w:t>
      </w:r>
    </w:p>
    <w:p w14:paraId="7CDB2F3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_GB2312" w:hAnsi="ˎ̥" w:eastAsia="仿宋_GB2312"/>
          <w:color w:val="auto"/>
          <w:sz w:val="32"/>
          <w:szCs w:val="32"/>
        </w:rPr>
        <w:t>年初结转结余</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万元，较</w:t>
      </w:r>
      <w:r>
        <w:rPr>
          <w:rFonts w:hint="default" w:ascii="仿宋_GB2312" w:hAnsi="ˎ̥" w:eastAsia="仿宋_GB2312"/>
          <w:color w:val="auto"/>
          <w:sz w:val="32"/>
          <w:szCs w:val="32"/>
          <w:lang w:val="en-US"/>
        </w:rPr>
        <w:t>2023</w:t>
      </w:r>
      <w:r>
        <w:rPr>
          <w:rFonts w:hint="eastAsia" w:ascii="仿宋_GB2312" w:hAnsi="ˎ̥" w:eastAsia="仿宋_GB2312"/>
          <w:color w:val="auto"/>
          <w:sz w:val="32"/>
          <w:szCs w:val="32"/>
        </w:rPr>
        <w:t>年度决算数增加</w:t>
      </w:r>
      <w:r>
        <w:rPr>
          <w:rFonts w:hint="eastAsia" w:ascii="仿宋_GB2312" w:hAnsi="ˎ̥" w:eastAsia="仿宋_GB2312"/>
          <w:color w:val="auto"/>
          <w:sz w:val="32"/>
          <w:szCs w:val="32"/>
          <w:lang w:eastAsia="zh-CN"/>
        </w:rPr>
        <w:t>（减少）</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万元，</w:t>
      </w:r>
      <w:r>
        <w:rPr>
          <w:rFonts w:hint="eastAsia" w:ascii="仿宋_GB2312" w:hAnsi="ˎ̥" w:eastAsia="仿宋_GB2312"/>
          <w:color w:val="auto"/>
          <w:sz w:val="32"/>
          <w:szCs w:val="32"/>
          <w:lang w:eastAsia="zh-CN"/>
        </w:rPr>
        <w:t>增长（下降）</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w:t>
      </w:r>
    </w:p>
    <w:p w14:paraId="48D90D1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黑体" w:hAnsi="黑体" w:eastAsia="黑体" w:cs="黑体"/>
          <w:bCs/>
          <w:color w:val="auto"/>
          <w:sz w:val="32"/>
          <w:szCs w:val="32"/>
        </w:rPr>
        <w:t>二、收入决算情况说明</w:t>
      </w:r>
      <w:r>
        <w:rPr>
          <w:rFonts w:hint="eastAsia" w:ascii="黑体" w:hAnsi="黑体" w:eastAsia="黑体" w:cs="黑体"/>
          <w:bCs/>
          <w:color w:val="auto"/>
          <w:sz w:val="32"/>
          <w:szCs w:val="32"/>
        </w:rPr>
        <w:br w:type="textWrapping"/>
      </w:r>
      <w:r>
        <w:rPr>
          <w:rFonts w:hint="eastAsia" w:ascii="仿宋_GB2312" w:hAnsi="ˎ̥" w:eastAsia="仿宋_GB2312"/>
          <w:color w:val="auto"/>
          <w:sz w:val="32"/>
          <w:szCs w:val="32"/>
        </w:rPr>
        <w:t xml:space="preserve">    本年收入</w:t>
      </w:r>
      <w:r>
        <w:rPr>
          <w:rFonts w:hint="eastAsia" w:ascii="仿宋_GB2312" w:hAnsi="ˎ̥" w:eastAsia="仿宋_GB2312"/>
          <w:color w:val="auto"/>
          <w:sz w:val="32"/>
          <w:szCs w:val="32"/>
          <w:lang w:val="en-US" w:eastAsia="zh-CN"/>
        </w:rPr>
        <w:t>2081.77</w:t>
      </w:r>
      <w:r>
        <w:rPr>
          <w:rFonts w:hint="eastAsia" w:ascii="仿宋_GB2312" w:hAnsi="ˎ̥" w:eastAsia="仿宋_GB2312"/>
          <w:color w:val="auto"/>
          <w:sz w:val="32"/>
          <w:szCs w:val="32"/>
        </w:rPr>
        <w:t>万元，其中：财政拨款收入</w:t>
      </w:r>
      <w:r>
        <w:rPr>
          <w:rFonts w:hint="eastAsia" w:ascii="仿宋_GB2312" w:hAnsi="ˎ̥" w:eastAsia="仿宋_GB2312"/>
          <w:color w:val="auto"/>
          <w:sz w:val="32"/>
          <w:szCs w:val="32"/>
          <w:lang w:val="en-US" w:eastAsia="zh-CN"/>
        </w:rPr>
        <w:t>2081.77</w:t>
      </w:r>
      <w:r>
        <w:rPr>
          <w:rFonts w:hint="eastAsia" w:ascii="仿宋_GB2312" w:hAnsi="ˎ̥" w:eastAsia="仿宋_GB2312"/>
          <w:color w:val="auto"/>
          <w:sz w:val="32"/>
          <w:szCs w:val="32"/>
        </w:rPr>
        <w:t>万元，占</w:t>
      </w:r>
      <w:r>
        <w:rPr>
          <w:rFonts w:hint="eastAsia" w:ascii="仿宋_GB2312" w:hAnsi="ˎ̥" w:eastAsia="仿宋_GB2312"/>
          <w:color w:val="auto"/>
          <w:sz w:val="32"/>
          <w:szCs w:val="32"/>
          <w:lang w:val="en-US" w:eastAsia="zh-CN"/>
        </w:rPr>
        <w:t>100</w:t>
      </w:r>
      <w:r>
        <w:rPr>
          <w:rFonts w:hint="eastAsia" w:ascii="仿宋_GB2312" w:hAnsi="ˎ̥" w:eastAsia="仿宋_GB2312"/>
          <w:color w:val="auto"/>
          <w:sz w:val="32"/>
          <w:szCs w:val="32"/>
        </w:rPr>
        <w:t>%。</w:t>
      </w:r>
    </w:p>
    <w:p w14:paraId="48DC7268">
      <w:pPr>
        <w:keepNext w:val="0"/>
        <w:keepLines w:val="0"/>
        <w:pageBreakBefore w:val="0"/>
        <w:widowControl w:val="0"/>
        <w:kinsoku/>
        <w:wordWrap/>
        <w:overflowPunct/>
        <w:topLinePunct w:val="0"/>
        <w:autoSpaceDE/>
        <w:autoSpaceDN/>
        <w:bidi w:val="0"/>
        <w:adjustRightInd/>
        <w:snapToGrid/>
        <w:spacing w:line="578" w:lineRule="exact"/>
        <w:ind w:firstLine="627" w:firstLineChars="196"/>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三、支出决算情况说明</w:t>
      </w:r>
    </w:p>
    <w:p w14:paraId="42CA6FF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_GB2312" w:hAnsi="ˎ̥" w:eastAsia="仿宋_GB2312"/>
          <w:color w:val="auto"/>
          <w:sz w:val="32"/>
          <w:szCs w:val="32"/>
        </w:rPr>
        <w:t>本年支出</w:t>
      </w:r>
      <w:r>
        <w:rPr>
          <w:rFonts w:hint="eastAsia" w:ascii="仿宋_GB2312" w:hAnsi="ˎ̥" w:eastAsia="仿宋_GB2312"/>
          <w:color w:val="auto"/>
          <w:sz w:val="32"/>
          <w:szCs w:val="32"/>
          <w:lang w:val="en-US" w:eastAsia="zh-CN"/>
        </w:rPr>
        <w:t>2081.77</w:t>
      </w:r>
      <w:r>
        <w:rPr>
          <w:rFonts w:hint="eastAsia" w:ascii="仿宋_GB2312" w:hAnsi="ˎ̥" w:eastAsia="仿宋_GB2312"/>
          <w:color w:val="auto"/>
          <w:sz w:val="32"/>
          <w:szCs w:val="32"/>
        </w:rPr>
        <w:t>万元，其中：基本支出</w:t>
      </w:r>
      <w:r>
        <w:rPr>
          <w:rFonts w:hint="eastAsia" w:ascii="仿宋_GB2312" w:hAnsi="ˎ̥" w:eastAsia="仿宋_GB2312"/>
          <w:color w:val="auto"/>
          <w:sz w:val="32"/>
          <w:szCs w:val="32"/>
          <w:lang w:val="en-US" w:eastAsia="zh-CN"/>
        </w:rPr>
        <w:t>223.6</w:t>
      </w:r>
      <w:r>
        <w:rPr>
          <w:rFonts w:hint="eastAsia" w:ascii="仿宋_GB2312" w:hAnsi="ˎ̥" w:eastAsia="仿宋_GB2312"/>
          <w:color w:val="auto"/>
          <w:sz w:val="32"/>
          <w:szCs w:val="32"/>
        </w:rPr>
        <w:t>万元，占</w:t>
      </w:r>
      <w:r>
        <w:rPr>
          <w:rFonts w:hint="eastAsia" w:ascii="仿宋_GB2312" w:hAnsi="ˎ̥" w:eastAsia="仿宋_GB2312"/>
          <w:color w:val="auto"/>
          <w:sz w:val="32"/>
          <w:szCs w:val="32"/>
          <w:lang w:val="en-US" w:eastAsia="zh-CN"/>
        </w:rPr>
        <w:t>10.74</w:t>
      </w:r>
      <w:r>
        <w:rPr>
          <w:rFonts w:hint="eastAsia" w:ascii="仿宋_GB2312" w:hAnsi="ˎ̥" w:eastAsia="仿宋_GB2312"/>
          <w:color w:val="auto"/>
          <w:sz w:val="32"/>
          <w:szCs w:val="32"/>
        </w:rPr>
        <w:t>%；项目支出</w:t>
      </w:r>
      <w:r>
        <w:rPr>
          <w:rFonts w:hint="eastAsia" w:ascii="仿宋_GB2312" w:hAnsi="ˎ̥" w:eastAsia="仿宋_GB2312"/>
          <w:color w:val="auto"/>
          <w:sz w:val="32"/>
          <w:szCs w:val="32"/>
          <w:lang w:val="en-US" w:eastAsia="zh-CN"/>
        </w:rPr>
        <w:t>1858.17</w:t>
      </w:r>
      <w:r>
        <w:rPr>
          <w:rFonts w:hint="eastAsia" w:ascii="仿宋_GB2312" w:hAnsi="ˎ̥" w:eastAsia="仿宋_GB2312"/>
          <w:color w:val="auto"/>
          <w:sz w:val="32"/>
          <w:szCs w:val="32"/>
        </w:rPr>
        <w:t>万元，占</w:t>
      </w:r>
      <w:r>
        <w:rPr>
          <w:rFonts w:hint="eastAsia" w:ascii="仿宋_GB2312" w:hAnsi="ˎ̥" w:eastAsia="仿宋_GB2312"/>
          <w:color w:val="auto"/>
          <w:sz w:val="32"/>
          <w:szCs w:val="32"/>
          <w:lang w:val="en-US" w:eastAsia="zh-CN"/>
        </w:rPr>
        <w:t>89.26</w:t>
      </w:r>
      <w:r>
        <w:rPr>
          <w:rFonts w:hint="eastAsia" w:ascii="仿宋_GB2312" w:hAnsi="ˎ̥" w:eastAsia="仿宋_GB2312"/>
          <w:color w:val="auto"/>
          <w:sz w:val="32"/>
          <w:szCs w:val="32"/>
        </w:rPr>
        <w:t>%。</w:t>
      </w:r>
    </w:p>
    <w:p w14:paraId="74FEAEF9">
      <w:pPr>
        <w:keepNext w:val="0"/>
        <w:keepLines w:val="0"/>
        <w:pageBreakBefore w:val="0"/>
        <w:widowControl w:val="0"/>
        <w:kinsoku/>
        <w:wordWrap/>
        <w:overflowPunct/>
        <w:topLinePunct w:val="0"/>
        <w:autoSpaceDE/>
        <w:autoSpaceDN/>
        <w:bidi w:val="0"/>
        <w:adjustRightInd/>
        <w:snapToGrid/>
        <w:spacing w:line="578" w:lineRule="exact"/>
        <w:ind w:firstLine="627" w:firstLineChars="196"/>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四、财政拨款收入支出决算总体情况说明</w:t>
      </w:r>
    </w:p>
    <w:p w14:paraId="674ECAA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lang w:eastAsia="zh-CN"/>
        </w:rPr>
      </w:pPr>
      <w:r>
        <w:rPr>
          <w:rFonts w:hint="default" w:ascii="仿宋_GB2312" w:hAnsi="ˎ̥" w:eastAsia="仿宋_GB2312"/>
          <w:color w:val="auto"/>
          <w:sz w:val="32"/>
          <w:szCs w:val="32"/>
          <w:lang w:val="en-US"/>
        </w:rPr>
        <w:t>2024</w:t>
      </w:r>
      <w:r>
        <w:rPr>
          <w:rFonts w:hint="eastAsia" w:ascii="仿宋_GB2312" w:hAnsi="ˎ̥" w:eastAsia="仿宋_GB2312"/>
          <w:color w:val="auto"/>
          <w:sz w:val="32"/>
          <w:szCs w:val="32"/>
        </w:rPr>
        <w:t>年度财政拨款收入</w:t>
      </w:r>
      <w:r>
        <w:rPr>
          <w:rFonts w:hint="eastAsia" w:ascii="仿宋_GB2312" w:hAnsi="ˎ̥" w:eastAsia="仿宋_GB2312"/>
          <w:color w:val="auto"/>
          <w:sz w:val="32"/>
          <w:szCs w:val="32"/>
          <w:lang w:val="en-US" w:eastAsia="zh-CN"/>
        </w:rPr>
        <w:t>2081.77</w:t>
      </w:r>
      <w:r>
        <w:rPr>
          <w:rFonts w:hint="eastAsia" w:ascii="仿宋_GB2312" w:hAnsi="ˎ̥" w:eastAsia="仿宋_GB2312"/>
          <w:color w:val="auto"/>
          <w:sz w:val="32"/>
          <w:szCs w:val="32"/>
        </w:rPr>
        <w:t>万元，支出</w:t>
      </w:r>
      <w:r>
        <w:rPr>
          <w:rFonts w:hint="eastAsia" w:ascii="仿宋_GB2312" w:hAnsi="ˎ̥" w:eastAsia="仿宋_GB2312"/>
          <w:color w:val="auto"/>
          <w:sz w:val="32"/>
          <w:szCs w:val="32"/>
          <w:lang w:val="en-US" w:eastAsia="zh-CN"/>
        </w:rPr>
        <w:t>2081.77</w:t>
      </w:r>
      <w:r>
        <w:rPr>
          <w:rFonts w:hint="eastAsia" w:ascii="仿宋_GB2312" w:hAnsi="ˎ̥" w:eastAsia="仿宋_GB2312"/>
          <w:color w:val="auto"/>
          <w:sz w:val="32"/>
          <w:szCs w:val="32"/>
        </w:rPr>
        <w:t>万元。与</w:t>
      </w:r>
      <w:r>
        <w:rPr>
          <w:rFonts w:hint="default" w:ascii="仿宋_GB2312" w:hAnsi="ˎ̥" w:eastAsia="仿宋_GB2312"/>
          <w:color w:val="auto"/>
          <w:sz w:val="32"/>
          <w:szCs w:val="32"/>
          <w:lang w:val="en-US"/>
        </w:rPr>
        <w:t>2023</w:t>
      </w:r>
      <w:r>
        <w:rPr>
          <w:rFonts w:hint="eastAsia" w:ascii="仿宋_GB2312" w:hAnsi="ˎ̥" w:eastAsia="仿宋_GB2312"/>
          <w:color w:val="auto"/>
          <w:sz w:val="32"/>
          <w:szCs w:val="32"/>
        </w:rPr>
        <w:t>年度相比，财政拨款收入</w:t>
      </w:r>
      <w:r>
        <w:rPr>
          <w:rFonts w:hint="eastAsia" w:ascii="仿宋_GB2312" w:hAnsi="ˎ̥" w:eastAsia="仿宋_GB2312"/>
          <w:color w:val="auto"/>
          <w:sz w:val="32"/>
          <w:szCs w:val="32"/>
          <w:lang w:eastAsia="zh-CN"/>
        </w:rPr>
        <w:t>、支出减少</w:t>
      </w:r>
      <w:r>
        <w:rPr>
          <w:rFonts w:hint="eastAsia" w:ascii="仿宋_GB2312" w:hAnsi="ˎ̥" w:eastAsia="仿宋_GB2312"/>
          <w:color w:val="auto"/>
          <w:sz w:val="32"/>
          <w:szCs w:val="32"/>
        </w:rPr>
        <w:t xml:space="preserve"> </w:t>
      </w:r>
      <w:r>
        <w:rPr>
          <w:rFonts w:hint="eastAsia" w:ascii="仿宋_GB2312" w:hAnsi="ˎ̥" w:eastAsia="仿宋_GB2312"/>
          <w:color w:val="auto"/>
          <w:sz w:val="32"/>
          <w:szCs w:val="32"/>
          <w:lang w:val="en-US" w:eastAsia="zh-CN"/>
        </w:rPr>
        <w:t>564.88</w:t>
      </w:r>
      <w:r>
        <w:rPr>
          <w:rFonts w:hint="eastAsia" w:ascii="仿宋_GB2312" w:hAnsi="ˎ̥" w:eastAsia="仿宋_GB2312"/>
          <w:color w:val="auto"/>
          <w:sz w:val="32"/>
          <w:szCs w:val="32"/>
        </w:rPr>
        <w:t>万元，</w:t>
      </w:r>
      <w:r>
        <w:rPr>
          <w:rFonts w:hint="eastAsia" w:ascii="仿宋_GB2312" w:hAnsi="ˎ̥" w:eastAsia="仿宋_GB2312"/>
          <w:color w:val="auto"/>
          <w:sz w:val="32"/>
          <w:szCs w:val="32"/>
          <w:lang w:eastAsia="zh-CN"/>
        </w:rPr>
        <w:t>下降</w:t>
      </w:r>
      <w:r>
        <w:rPr>
          <w:rFonts w:hint="eastAsia" w:ascii="仿宋_GB2312" w:hAnsi="ˎ̥" w:eastAsia="仿宋_GB2312"/>
          <w:color w:val="auto"/>
          <w:sz w:val="32"/>
          <w:szCs w:val="32"/>
          <w:lang w:val="en-US" w:eastAsia="zh-CN"/>
        </w:rPr>
        <w:t>21.34</w:t>
      </w:r>
      <w:r>
        <w:rPr>
          <w:rFonts w:hint="eastAsia" w:ascii="仿宋_GB2312" w:hAnsi="ˎ̥" w:eastAsia="仿宋_GB2312"/>
          <w:color w:val="auto"/>
          <w:sz w:val="32"/>
          <w:szCs w:val="32"/>
        </w:rPr>
        <w:t>%，主要原因：</w:t>
      </w:r>
      <w:r>
        <w:rPr>
          <w:rFonts w:hint="eastAsia" w:ascii="仿宋_GB2312" w:hAnsi="ˎ̥" w:eastAsia="仿宋_GB2312"/>
          <w:color w:val="auto"/>
          <w:sz w:val="32"/>
          <w:szCs w:val="32"/>
          <w:lang w:eastAsia="zh-CN"/>
        </w:rPr>
        <w:t>单位财政项目减少资金投入减少</w:t>
      </w:r>
      <w:r>
        <w:rPr>
          <w:rFonts w:hint="eastAsia" w:ascii="仿宋_GB2312" w:hAnsi="ˎ̥" w:eastAsia="仿宋_GB2312"/>
          <w:color w:val="auto"/>
          <w:sz w:val="32"/>
          <w:szCs w:val="32"/>
        </w:rPr>
        <w:t>。</w:t>
      </w:r>
    </w:p>
    <w:p w14:paraId="2EE8B97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_GB2312" w:hAnsi="ˎ̥" w:eastAsia="仿宋_GB2312"/>
          <w:color w:val="auto"/>
          <w:sz w:val="32"/>
          <w:szCs w:val="32"/>
        </w:rPr>
        <w:t>财政拨款年初结转结余</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万元，较</w:t>
      </w:r>
      <w:r>
        <w:rPr>
          <w:rFonts w:hint="default" w:ascii="仿宋_GB2312" w:hAnsi="ˎ̥" w:eastAsia="仿宋_GB2312"/>
          <w:color w:val="auto"/>
          <w:sz w:val="32"/>
          <w:szCs w:val="32"/>
          <w:lang w:val="en-US"/>
        </w:rPr>
        <w:t>2023</w:t>
      </w:r>
      <w:r>
        <w:rPr>
          <w:rFonts w:hint="eastAsia" w:ascii="仿宋_GB2312" w:hAnsi="ˎ̥" w:eastAsia="仿宋_GB2312"/>
          <w:color w:val="auto"/>
          <w:sz w:val="32"/>
          <w:szCs w:val="32"/>
        </w:rPr>
        <w:t>年度决算数减少</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3万元，</w:t>
      </w:r>
      <w:r>
        <w:rPr>
          <w:rFonts w:hint="eastAsia" w:ascii="仿宋_GB2312" w:hAnsi="ˎ̥" w:eastAsia="仿宋_GB2312"/>
          <w:color w:val="auto"/>
          <w:sz w:val="32"/>
          <w:szCs w:val="32"/>
          <w:lang w:eastAsia="zh-CN"/>
        </w:rPr>
        <w:t>增长（下降）</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w:t>
      </w:r>
    </w:p>
    <w:p w14:paraId="5E941B4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_GB2312" w:hAnsi="ˎ̥" w:eastAsia="仿宋_GB2312"/>
          <w:color w:val="auto"/>
          <w:sz w:val="32"/>
          <w:szCs w:val="32"/>
        </w:rPr>
        <w:t>财政拨款年末结转结余</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万元，较</w:t>
      </w:r>
      <w:r>
        <w:rPr>
          <w:rFonts w:hint="default" w:ascii="仿宋_GB2312" w:hAnsi="ˎ̥" w:eastAsia="仿宋_GB2312"/>
          <w:color w:val="auto"/>
          <w:sz w:val="32"/>
          <w:szCs w:val="32"/>
          <w:lang w:val="en-US"/>
        </w:rPr>
        <w:t>2023</w:t>
      </w:r>
      <w:r>
        <w:rPr>
          <w:rFonts w:hint="eastAsia" w:ascii="仿宋_GB2312" w:hAnsi="ˎ̥" w:eastAsia="仿宋_GB2312"/>
          <w:color w:val="auto"/>
          <w:sz w:val="32"/>
          <w:szCs w:val="32"/>
        </w:rPr>
        <w:t>年度决算数减少</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万元，</w:t>
      </w:r>
      <w:r>
        <w:rPr>
          <w:rFonts w:hint="eastAsia" w:ascii="仿宋_GB2312" w:hAnsi="ˎ̥" w:eastAsia="仿宋_GB2312"/>
          <w:color w:val="auto"/>
          <w:sz w:val="32"/>
          <w:szCs w:val="32"/>
          <w:lang w:eastAsia="zh-CN"/>
        </w:rPr>
        <w:t>增长（下降）</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w:t>
      </w:r>
    </w:p>
    <w:p w14:paraId="0AC44790">
      <w:pPr>
        <w:keepNext w:val="0"/>
        <w:keepLines w:val="0"/>
        <w:pageBreakBefore w:val="0"/>
        <w:widowControl w:val="0"/>
        <w:kinsoku/>
        <w:wordWrap/>
        <w:overflowPunct/>
        <w:topLinePunct w:val="0"/>
        <w:autoSpaceDE/>
        <w:autoSpaceDN/>
        <w:bidi w:val="0"/>
        <w:adjustRightInd/>
        <w:snapToGrid/>
        <w:spacing w:line="578" w:lineRule="exact"/>
        <w:ind w:firstLine="627" w:firstLineChars="196"/>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五、一般公共预算财政拨款支出决算情况说明</w:t>
      </w:r>
    </w:p>
    <w:p w14:paraId="4656D36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bookmarkStart w:id="78" w:name="_Toc21737_WPSOffice_Level2"/>
      <w:bookmarkStart w:id="79" w:name="_Toc13694_WPSOffice_Level2"/>
      <w:bookmarkStart w:id="80" w:name="_Toc23005_WPSOffice_Level2"/>
      <w:bookmarkStart w:id="81" w:name="_Toc17398_WPSOffice_Level2"/>
      <w:bookmarkStart w:id="82" w:name="_Toc19665_WPSOffice_Level2"/>
      <w:bookmarkStart w:id="83" w:name="_Toc9989_WPSOffice_Level2"/>
      <w:r>
        <w:rPr>
          <w:rFonts w:hint="eastAsia" w:ascii="楷体" w:hAnsi="楷体" w:eastAsia="楷体" w:cs="楷体"/>
          <w:color w:val="auto"/>
          <w:sz w:val="32"/>
          <w:szCs w:val="32"/>
        </w:rPr>
        <w:t>（一）一般公共预算财政拨款支出决算总体情况</w:t>
      </w:r>
      <w:bookmarkEnd w:id="78"/>
      <w:bookmarkEnd w:id="79"/>
      <w:bookmarkEnd w:id="80"/>
      <w:bookmarkEnd w:id="81"/>
      <w:bookmarkEnd w:id="82"/>
      <w:bookmarkEnd w:id="83"/>
    </w:p>
    <w:p w14:paraId="6FB2EA4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lang w:eastAsia="zh-CN"/>
        </w:rPr>
      </w:pPr>
      <w:r>
        <w:rPr>
          <w:rFonts w:hint="default" w:ascii="仿宋_GB2312" w:hAnsi="ˎ̥" w:eastAsia="仿宋_GB2312"/>
          <w:color w:val="auto"/>
          <w:sz w:val="32"/>
          <w:szCs w:val="32"/>
          <w:lang w:val="en-US"/>
        </w:rPr>
        <w:t>2024</w:t>
      </w:r>
      <w:r>
        <w:rPr>
          <w:rFonts w:hint="eastAsia" w:ascii="仿宋_GB2312" w:hAnsi="ˎ̥" w:eastAsia="仿宋_GB2312"/>
          <w:color w:val="auto"/>
          <w:sz w:val="32"/>
          <w:szCs w:val="32"/>
        </w:rPr>
        <w:t>年度一般公共预算财政拨款支出</w:t>
      </w:r>
      <w:r>
        <w:rPr>
          <w:rFonts w:hint="eastAsia" w:ascii="仿宋_GB2312" w:hAnsi="ˎ̥" w:eastAsia="仿宋_GB2312"/>
          <w:color w:val="auto"/>
          <w:sz w:val="32"/>
          <w:szCs w:val="32"/>
          <w:lang w:val="en-US" w:eastAsia="zh-CN"/>
        </w:rPr>
        <w:t>2081.77</w:t>
      </w:r>
      <w:r>
        <w:rPr>
          <w:rFonts w:hint="eastAsia" w:ascii="仿宋_GB2312" w:hAnsi="ˎ̥" w:eastAsia="仿宋_GB2312"/>
          <w:color w:val="auto"/>
          <w:sz w:val="32"/>
          <w:szCs w:val="32"/>
        </w:rPr>
        <w:t>万元，占本年支出合计的</w:t>
      </w:r>
      <w:r>
        <w:rPr>
          <w:rFonts w:hint="eastAsia" w:ascii="仿宋_GB2312" w:hAnsi="ˎ̥" w:eastAsia="仿宋_GB2312"/>
          <w:color w:val="auto"/>
          <w:sz w:val="32"/>
          <w:szCs w:val="32"/>
          <w:lang w:val="en-US" w:eastAsia="zh-CN"/>
        </w:rPr>
        <w:t>100</w:t>
      </w:r>
      <w:r>
        <w:rPr>
          <w:rFonts w:hint="eastAsia" w:ascii="仿宋_GB2312" w:hAnsi="ˎ̥" w:eastAsia="仿宋_GB2312"/>
          <w:color w:val="auto"/>
          <w:sz w:val="32"/>
          <w:szCs w:val="32"/>
        </w:rPr>
        <w:t>%。与</w:t>
      </w:r>
      <w:r>
        <w:rPr>
          <w:rFonts w:hint="default" w:ascii="仿宋_GB2312" w:hAnsi="ˎ̥" w:eastAsia="仿宋_GB2312"/>
          <w:color w:val="auto"/>
          <w:sz w:val="32"/>
          <w:szCs w:val="32"/>
          <w:lang w:val="en-US"/>
        </w:rPr>
        <w:t>2023</w:t>
      </w:r>
      <w:r>
        <w:rPr>
          <w:rFonts w:hint="eastAsia" w:ascii="仿宋_GB2312" w:hAnsi="ˎ̥" w:eastAsia="仿宋_GB2312"/>
          <w:color w:val="auto"/>
          <w:sz w:val="32"/>
          <w:szCs w:val="32"/>
        </w:rPr>
        <w:t>年度相比，一般公共预算财政拨款支出</w:t>
      </w:r>
      <w:r>
        <w:rPr>
          <w:rFonts w:hint="eastAsia" w:ascii="仿宋_GB2312" w:hAnsi="ˎ̥" w:eastAsia="仿宋_GB2312"/>
          <w:color w:val="auto"/>
          <w:sz w:val="32"/>
          <w:szCs w:val="32"/>
          <w:lang w:eastAsia="zh-CN"/>
        </w:rPr>
        <w:t>减少</w:t>
      </w:r>
      <w:r>
        <w:rPr>
          <w:rFonts w:hint="eastAsia" w:ascii="仿宋_GB2312" w:hAnsi="ˎ̥" w:eastAsia="仿宋_GB2312"/>
          <w:color w:val="auto"/>
          <w:sz w:val="32"/>
          <w:szCs w:val="32"/>
          <w:lang w:val="en-US" w:eastAsia="zh-CN"/>
        </w:rPr>
        <w:t>564.88</w:t>
      </w:r>
      <w:r>
        <w:rPr>
          <w:rFonts w:hint="eastAsia" w:ascii="仿宋_GB2312" w:hAnsi="ˎ̥" w:eastAsia="仿宋_GB2312"/>
          <w:color w:val="auto"/>
          <w:sz w:val="32"/>
          <w:szCs w:val="32"/>
        </w:rPr>
        <w:t>万元，</w:t>
      </w:r>
      <w:r>
        <w:rPr>
          <w:rFonts w:hint="eastAsia" w:ascii="仿宋_GB2312" w:hAnsi="ˎ̥" w:eastAsia="仿宋_GB2312"/>
          <w:color w:val="auto"/>
          <w:sz w:val="32"/>
          <w:szCs w:val="32"/>
          <w:lang w:eastAsia="zh-CN"/>
        </w:rPr>
        <w:t>下降</w:t>
      </w:r>
      <w:r>
        <w:rPr>
          <w:rFonts w:hint="eastAsia" w:ascii="仿宋_GB2312" w:hAnsi="ˎ̥" w:eastAsia="仿宋_GB2312"/>
          <w:color w:val="auto"/>
          <w:sz w:val="32"/>
          <w:szCs w:val="32"/>
          <w:lang w:val="en-US" w:eastAsia="zh-CN"/>
        </w:rPr>
        <w:t>21.34</w:t>
      </w:r>
      <w:r>
        <w:rPr>
          <w:rFonts w:hint="eastAsia" w:ascii="仿宋_GB2312" w:hAnsi="ˎ̥" w:eastAsia="仿宋_GB2312"/>
          <w:color w:val="auto"/>
          <w:sz w:val="32"/>
          <w:szCs w:val="32"/>
        </w:rPr>
        <w:t>%，主要原因</w:t>
      </w:r>
      <w:r>
        <w:rPr>
          <w:rFonts w:hint="eastAsia" w:ascii="仿宋_GB2312" w:hAnsi="ˎ̥" w:eastAsia="仿宋_GB2312"/>
          <w:color w:val="auto"/>
          <w:sz w:val="32"/>
          <w:szCs w:val="32"/>
          <w:lang w:eastAsia="zh-CN"/>
        </w:rPr>
        <w:t>：单位财政项目减少资金投入减少</w:t>
      </w:r>
      <w:r>
        <w:rPr>
          <w:rFonts w:hint="eastAsia" w:ascii="仿宋_GB2312" w:hAnsi="ˎ̥" w:eastAsia="仿宋_GB2312"/>
          <w:color w:val="auto"/>
          <w:sz w:val="32"/>
          <w:szCs w:val="32"/>
        </w:rPr>
        <w:t>。</w:t>
      </w:r>
    </w:p>
    <w:p w14:paraId="1F4602F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bookmarkStart w:id="84" w:name="_Toc19535_WPSOffice_Level2"/>
      <w:bookmarkStart w:id="85" w:name="_Toc19075_WPSOffice_Level2"/>
      <w:bookmarkStart w:id="86" w:name="_Toc27767_WPSOffice_Level2"/>
      <w:bookmarkStart w:id="87" w:name="_Toc18793_WPSOffice_Level2"/>
      <w:bookmarkStart w:id="88" w:name="_Toc23864_WPSOffice_Level2"/>
      <w:bookmarkStart w:id="89" w:name="_Toc2711_WPSOffice_Level2"/>
      <w:r>
        <w:rPr>
          <w:rFonts w:hint="eastAsia" w:ascii="楷体" w:hAnsi="楷体" w:eastAsia="楷体" w:cs="楷体"/>
          <w:color w:val="auto"/>
          <w:sz w:val="32"/>
          <w:szCs w:val="32"/>
        </w:rPr>
        <w:t>（二）一般公共预算财政拨款支出决算结构情况</w:t>
      </w:r>
      <w:bookmarkEnd w:id="84"/>
      <w:bookmarkEnd w:id="85"/>
      <w:bookmarkEnd w:id="86"/>
      <w:bookmarkEnd w:id="87"/>
      <w:bookmarkEnd w:id="88"/>
      <w:bookmarkEnd w:id="89"/>
    </w:p>
    <w:p w14:paraId="4565574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lang w:eastAsia="zh-CN"/>
        </w:rPr>
      </w:pPr>
      <w:r>
        <w:rPr>
          <w:rFonts w:hint="default" w:ascii="仿宋_GB2312" w:hAnsi="ˎ̥" w:eastAsia="仿宋_GB2312"/>
          <w:color w:val="auto"/>
          <w:sz w:val="32"/>
          <w:szCs w:val="32"/>
          <w:lang w:val="en-US"/>
        </w:rPr>
        <w:t>2024</w:t>
      </w:r>
      <w:r>
        <w:rPr>
          <w:rFonts w:hint="eastAsia" w:ascii="仿宋_GB2312" w:hAnsi="ˎ̥" w:eastAsia="仿宋_GB2312"/>
          <w:color w:val="auto"/>
          <w:sz w:val="32"/>
          <w:szCs w:val="32"/>
        </w:rPr>
        <w:t>年度一般公共预算财政拨款支出</w:t>
      </w:r>
      <w:r>
        <w:rPr>
          <w:rFonts w:hint="eastAsia" w:ascii="仿宋_GB2312" w:hAnsi="ˎ̥" w:eastAsia="仿宋_GB2312"/>
          <w:color w:val="auto"/>
          <w:sz w:val="32"/>
          <w:szCs w:val="32"/>
          <w:lang w:val="en-US" w:eastAsia="zh-CN"/>
        </w:rPr>
        <w:t>2081.77</w:t>
      </w:r>
      <w:r>
        <w:rPr>
          <w:rFonts w:hint="eastAsia" w:ascii="仿宋_GB2312" w:hAnsi="ˎ̥" w:eastAsia="仿宋_GB2312"/>
          <w:color w:val="auto"/>
          <w:sz w:val="32"/>
          <w:szCs w:val="32"/>
        </w:rPr>
        <w:t>万元，主要用于以下方面：</w:t>
      </w:r>
      <w:r>
        <w:rPr>
          <w:rFonts w:hint="eastAsia" w:ascii="仿宋_GB2312" w:hAnsi="ˎ̥" w:eastAsia="仿宋_GB2312"/>
          <w:b/>
          <w:color w:val="auto"/>
          <w:sz w:val="32"/>
          <w:szCs w:val="32"/>
        </w:rPr>
        <w:t>社会保障和就业</w:t>
      </w:r>
      <w:r>
        <w:rPr>
          <w:rFonts w:hint="eastAsia" w:ascii="仿宋_GB2312" w:hAnsi="ˎ̥" w:eastAsia="仿宋_GB2312"/>
          <w:b/>
          <w:color w:val="auto"/>
          <w:sz w:val="32"/>
          <w:szCs w:val="32"/>
          <w:lang w:eastAsia="zh-CN"/>
        </w:rPr>
        <w:t>（类）</w:t>
      </w:r>
      <w:r>
        <w:rPr>
          <w:rFonts w:hint="eastAsia" w:ascii="仿宋_GB2312" w:hAnsi="ˎ̥" w:eastAsia="仿宋_GB2312"/>
          <w:color w:val="auto"/>
          <w:sz w:val="32"/>
          <w:szCs w:val="32"/>
        </w:rPr>
        <w:t>支出</w:t>
      </w:r>
      <w:r>
        <w:rPr>
          <w:rFonts w:hint="eastAsia" w:ascii="仿宋_GB2312" w:hAnsi="ˎ̥" w:eastAsia="仿宋_GB2312"/>
          <w:color w:val="auto"/>
          <w:sz w:val="32"/>
          <w:szCs w:val="32"/>
          <w:lang w:val="en-US" w:eastAsia="zh-CN"/>
        </w:rPr>
        <w:t>29.47</w:t>
      </w:r>
      <w:r>
        <w:rPr>
          <w:rFonts w:hint="eastAsia" w:ascii="仿宋_GB2312" w:hAnsi="ˎ̥" w:eastAsia="仿宋_GB2312"/>
          <w:color w:val="auto"/>
          <w:sz w:val="32"/>
          <w:szCs w:val="32"/>
          <w:lang w:eastAsia="zh-CN"/>
        </w:rPr>
        <w:t>万元，</w:t>
      </w:r>
      <w:r>
        <w:rPr>
          <w:rFonts w:hint="eastAsia" w:ascii="仿宋_GB2312" w:hAnsi="ˎ̥" w:eastAsia="仿宋_GB2312"/>
          <w:color w:val="auto"/>
          <w:sz w:val="32"/>
          <w:szCs w:val="32"/>
        </w:rPr>
        <w:t>占</w:t>
      </w:r>
      <w:r>
        <w:rPr>
          <w:rFonts w:hint="eastAsia" w:ascii="仿宋_GB2312" w:hAnsi="ˎ̥" w:eastAsia="仿宋_GB2312"/>
          <w:color w:val="auto"/>
          <w:sz w:val="32"/>
          <w:szCs w:val="32"/>
          <w:lang w:val="en-US" w:eastAsia="zh-CN"/>
        </w:rPr>
        <w:t>1.42</w:t>
      </w:r>
      <w:r>
        <w:rPr>
          <w:rFonts w:hint="eastAsia" w:ascii="仿宋_GB2312" w:hAnsi="ˎ̥" w:eastAsia="仿宋_GB2312"/>
          <w:color w:val="auto"/>
          <w:sz w:val="32"/>
          <w:szCs w:val="32"/>
        </w:rPr>
        <w:t>%</w:t>
      </w:r>
      <w:r>
        <w:rPr>
          <w:rFonts w:hint="eastAsia" w:ascii="仿宋_GB2312" w:hAnsi="ˎ̥" w:eastAsia="仿宋_GB2312"/>
          <w:color w:val="auto"/>
          <w:sz w:val="32"/>
          <w:szCs w:val="32"/>
          <w:lang w:eastAsia="zh-CN"/>
        </w:rPr>
        <w:t>；</w:t>
      </w:r>
      <w:r>
        <w:rPr>
          <w:rFonts w:hint="eastAsia" w:ascii="仿宋_GB2312" w:hAnsi="ˎ̥" w:eastAsia="仿宋_GB2312"/>
          <w:b/>
          <w:color w:val="auto"/>
          <w:sz w:val="32"/>
          <w:szCs w:val="32"/>
        </w:rPr>
        <w:t>卫生健康</w:t>
      </w:r>
      <w:r>
        <w:rPr>
          <w:rFonts w:hint="eastAsia" w:ascii="仿宋_GB2312" w:hAnsi="ˎ̥" w:eastAsia="仿宋_GB2312"/>
          <w:b/>
          <w:color w:val="auto"/>
          <w:sz w:val="32"/>
          <w:szCs w:val="32"/>
          <w:lang w:eastAsia="zh-CN"/>
        </w:rPr>
        <w:t>（类）</w:t>
      </w:r>
      <w:r>
        <w:rPr>
          <w:rFonts w:hint="eastAsia" w:ascii="仿宋_GB2312" w:hAnsi="ˎ̥" w:eastAsia="仿宋_GB2312"/>
          <w:color w:val="auto"/>
          <w:sz w:val="32"/>
          <w:szCs w:val="32"/>
        </w:rPr>
        <w:t>支出</w:t>
      </w:r>
      <w:r>
        <w:rPr>
          <w:rFonts w:hint="eastAsia" w:ascii="仿宋_GB2312" w:hAnsi="ˎ̥" w:eastAsia="仿宋_GB2312"/>
          <w:color w:val="auto"/>
          <w:sz w:val="32"/>
          <w:szCs w:val="32"/>
          <w:lang w:val="en-US" w:eastAsia="zh-CN"/>
        </w:rPr>
        <w:t>19.22万元</w:t>
      </w:r>
      <w:r>
        <w:rPr>
          <w:rFonts w:hint="eastAsia" w:ascii="仿宋_GB2312" w:hAnsi="ˎ̥" w:eastAsia="仿宋_GB2312"/>
          <w:color w:val="auto"/>
          <w:sz w:val="32"/>
          <w:szCs w:val="32"/>
          <w:lang w:eastAsia="zh-CN"/>
        </w:rPr>
        <w:t>，</w:t>
      </w:r>
      <w:r>
        <w:rPr>
          <w:rFonts w:hint="eastAsia" w:ascii="仿宋_GB2312" w:hAnsi="ˎ̥" w:eastAsia="仿宋_GB2312"/>
          <w:color w:val="auto"/>
          <w:sz w:val="32"/>
          <w:szCs w:val="32"/>
        </w:rPr>
        <w:t>占</w:t>
      </w:r>
      <w:r>
        <w:rPr>
          <w:rFonts w:hint="eastAsia" w:ascii="仿宋_GB2312" w:hAnsi="ˎ̥" w:eastAsia="仿宋_GB2312"/>
          <w:color w:val="auto"/>
          <w:sz w:val="32"/>
          <w:szCs w:val="32"/>
          <w:lang w:val="en-US" w:eastAsia="zh-CN"/>
        </w:rPr>
        <w:t>0.92</w:t>
      </w:r>
      <w:r>
        <w:rPr>
          <w:rFonts w:hint="eastAsia" w:ascii="仿宋_GB2312" w:hAnsi="ˎ̥" w:eastAsia="仿宋_GB2312"/>
          <w:color w:val="auto"/>
          <w:sz w:val="32"/>
          <w:szCs w:val="32"/>
        </w:rPr>
        <w:t>%</w:t>
      </w:r>
      <w:r>
        <w:rPr>
          <w:rFonts w:hint="eastAsia" w:ascii="仿宋_GB2312" w:hAnsi="ˎ̥" w:eastAsia="仿宋_GB2312"/>
          <w:color w:val="auto"/>
          <w:sz w:val="32"/>
          <w:szCs w:val="32"/>
          <w:lang w:eastAsia="zh-CN"/>
        </w:rPr>
        <w:t>；</w:t>
      </w:r>
      <w:r>
        <w:rPr>
          <w:rFonts w:hint="eastAsia" w:ascii="仿宋_GB2312" w:hAnsi="ˎ̥" w:eastAsia="仿宋_GB2312"/>
          <w:b/>
          <w:color w:val="auto"/>
          <w:sz w:val="32"/>
          <w:szCs w:val="32"/>
        </w:rPr>
        <w:t>节能环保</w:t>
      </w:r>
      <w:r>
        <w:rPr>
          <w:rFonts w:hint="eastAsia" w:ascii="仿宋_GB2312" w:hAnsi="ˎ̥" w:eastAsia="仿宋_GB2312"/>
          <w:b/>
          <w:color w:val="auto"/>
          <w:sz w:val="32"/>
          <w:szCs w:val="32"/>
          <w:lang w:eastAsia="zh-CN"/>
        </w:rPr>
        <w:t>（类）</w:t>
      </w:r>
      <w:r>
        <w:rPr>
          <w:rFonts w:hint="eastAsia" w:ascii="仿宋_GB2312" w:hAnsi="ˎ̥" w:eastAsia="仿宋_GB2312"/>
          <w:color w:val="auto"/>
          <w:sz w:val="32"/>
          <w:szCs w:val="32"/>
        </w:rPr>
        <w:t>支出</w:t>
      </w:r>
      <w:r>
        <w:rPr>
          <w:rFonts w:hint="eastAsia" w:ascii="仿宋_GB2312" w:hAnsi="ˎ̥" w:eastAsia="仿宋_GB2312"/>
          <w:color w:val="auto"/>
          <w:sz w:val="32"/>
          <w:szCs w:val="32"/>
          <w:lang w:val="en-US" w:eastAsia="zh-CN"/>
        </w:rPr>
        <w:t>1549.34</w:t>
      </w:r>
      <w:r>
        <w:rPr>
          <w:rFonts w:hint="eastAsia" w:ascii="仿宋_GB2312" w:hAnsi="ˎ̥" w:eastAsia="仿宋_GB2312"/>
          <w:color w:val="auto"/>
          <w:sz w:val="32"/>
          <w:szCs w:val="32"/>
          <w:lang w:eastAsia="zh-CN"/>
        </w:rPr>
        <w:t>万元，</w:t>
      </w:r>
      <w:r>
        <w:rPr>
          <w:rFonts w:hint="eastAsia" w:ascii="仿宋_GB2312" w:hAnsi="ˎ̥" w:eastAsia="仿宋_GB2312"/>
          <w:color w:val="auto"/>
          <w:sz w:val="32"/>
          <w:szCs w:val="32"/>
        </w:rPr>
        <w:t>占</w:t>
      </w:r>
      <w:r>
        <w:rPr>
          <w:rFonts w:hint="eastAsia" w:ascii="仿宋_GB2312" w:hAnsi="ˎ̥" w:eastAsia="仿宋_GB2312"/>
          <w:color w:val="auto"/>
          <w:sz w:val="32"/>
          <w:szCs w:val="32"/>
          <w:lang w:val="en-US" w:eastAsia="zh-CN"/>
        </w:rPr>
        <w:t>74.42</w:t>
      </w:r>
      <w:r>
        <w:rPr>
          <w:rFonts w:hint="eastAsia" w:ascii="仿宋_GB2312" w:hAnsi="ˎ̥" w:eastAsia="仿宋_GB2312"/>
          <w:color w:val="auto"/>
          <w:sz w:val="32"/>
          <w:szCs w:val="32"/>
        </w:rPr>
        <w:t>%</w:t>
      </w:r>
      <w:r>
        <w:rPr>
          <w:rFonts w:hint="eastAsia" w:ascii="仿宋_GB2312" w:hAnsi="ˎ̥" w:eastAsia="仿宋_GB2312"/>
          <w:color w:val="auto"/>
          <w:sz w:val="32"/>
          <w:szCs w:val="32"/>
          <w:lang w:eastAsia="zh-CN"/>
        </w:rPr>
        <w:t>；</w:t>
      </w:r>
      <w:r>
        <w:rPr>
          <w:rFonts w:hint="eastAsia" w:ascii="仿宋_GB2312" w:hAnsi="ˎ̥" w:eastAsia="仿宋_GB2312"/>
          <w:b/>
          <w:color w:val="auto"/>
          <w:sz w:val="32"/>
          <w:szCs w:val="32"/>
        </w:rPr>
        <w:t>农林水</w:t>
      </w:r>
      <w:r>
        <w:rPr>
          <w:rFonts w:hint="eastAsia" w:ascii="仿宋_GB2312" w:hAnsi="ˎ̥" w:eastAsia="仿宋_GB2312"/>
          <w:b/>
          <w:color w:val="auto"/>
          <w:sz w:val="32"/>
          <w:szCs w:val="32"/>
          <w:lang w:eastAsia="zh-CN"/>
        </w:rPr>
        <w:t>（类）</w:t>
      </w:r>
      <w:r>
        <w:rPr>
          <w:rFonts w:hint="eastAsia" w:ascii="仿宋_GB2312" w:hAnsi="ˎ̥" w:eastAsia="仿宋_GB2312"/>
          <w:color w:val="auto"/>
          <w:sz w:val="32"/>
          <w:szCs w:val="32"/>
        </w:rPr>
        <w:t>支出</w:t>
      </w:r>
      <w:r>
        <w:rPr>
          <w:rFonts w:hint="eastAsia" w:ascii="仿宋_GB2312" w:hAnsi="ˎ̥" w:eastAsia="仿宋_GB2312"/>
          <w:color w:val="auto"/>
          <w:sz w:val="32"/>
          <w:szCs w:val="32"/>
          <w:lang w:val="en-US" w:eastAsia="zh-CN"/>
        </w:rPr>
        <w:t>469.13</w:t>
      </w:r>
      <w:r>
        <w:rPr>
          <w:rFonts w:hint="eastAsia" w:ascii="仿宋_GB2312" w:hAnsi="ˎ̥" w:eastAsia="仿宋_GB2312"/>
          <w:color w:val="auto"/>
          <w:sz w:val="32"/>
          <w:szCs w:val="32"/>
          <w:lang w:eastAsia="zh-CN"/>
        </w:rPr>
        <w:t>万元，</w:t>
      </w:r>
      <w:r>
        <w:rPr>
          <w:rFonts w:hint="eastAsia" w:ascii="仿宋_GB2312" w:hAnsi="ˎ̥" w:eastAsia="仿宋_GB2312"/>
          <w:color w:val="auto"/>
          <w:sz w:val="32"/>
          <w:szCs w:val="32"/>
        </w:rPr>
        <w:t>占</w:t>
      </w:r>
      <w:r>
        <w:rPr>
          <w:rFonts w:hint="eastAsia" w:ascii="仿宋_GB2312" w:hAnsi="ˎ̥" w:eastAsia="仿宋_GB2312"/>
          <w:color w:val="auto"/>
          <w:sz w:val="32"/>
          <w:szCs w:val="32"/>
          <w:lang w:val="en-US" w:eastAsia="zh-CN"/>
        </w:rPr>
        <w:t>22.54</w:t>
      </w:r>
      <w:r>
        <w:rPr>
          <w:rFonts w:hint="eastAsia" w:ascii="仿宋_GB2312" w:hAnsi="ˎ̥" w:eastAsia="仿宋_GB2312"/>
          <w:color w:val="auto"/>
          <w:sz w:val="32"/>
          <w:szCs w:val="32"/>
        </w:rPr>
        <w:t>%</w:t>
      </w:r>
      <w:r>
        <w:rPr>
          <w:rFonts w:hint="eastAsia" w:ascii="仿宋_GB2312" w:hAnsi="ˎ̥" w:eastAsia="仿宋_GB2312"/>
          <w:color w:val="auto"/>
          <w:sz w:val="32"/>
          <w:szCs w:val="32"/>
          <w:lang w:eastAsia="zh-CN"/>
        </w:rPr>
        <w:t>；</w:t>
      </w:r>
      <w:r>
        <w:rPr>
          <w:rFonts w:hint="eastAsia" w:ascii="仿宋_GB2312" w:hAnsi="ˎ̥" w:eastAsia="仿宋_GB2312"/>
          <w:b/>
          <w:color w:val="auto"/>
          <w:sz w:val="32"/>
          <w:szCs w:val="32"/>
        </w:rPr>
        <w:t>住房保障</w:t>
      </w:r>
      <w:r>
        <w:rPr>
          <w:rFonts w:hint="eastAsia" w:ascii="仿宋_GB2312" w:hAnsi="ˎ̥" w:eastAsia="仿宋_GB2312"/>
          <w:b/>
          <w:color w:val="auto"/>
          <w:sz w:val="32"/>
          <w:szCs w:val="32"/>
          <w:lang w:eastAsia="zh-CN"/>
        </w:rPr>
        <w:t>（类）</w:t>
      </w:r>
      <w:r>
        <w:rPr>
          <w:rFonts w:hint="eastAsia" w:ascii="仿宋_GB2312" w:hAnsi="ˎ̥" w:eastAsia="仿宋_GB2312"/>
          <w:color w:val="auto"/>
          <w:sz w:val="32"/>
          <w:szCs w:val="32"/>
        </w:rPr>
        <w:t>支出</w:t>
      </w:r>
      <w:r>
        <w:rPr>
          <w:rFonts w:hint="eastAsia" w:ascii="仿宋_GB2312" w:hAnsi="ˎ̥" w:eastAsia="仿宋_GB2312"/>
          <w:color w:val="auto"/>
          <w:sz w:val="32"/>
          <w:szCs w:val="32"/>
          <w:lang w:val="en-US" w:eastAsia="zh-CN"/>
        </w:rPr>
        <w:t>14.6</w:t>
      </w:r>
      <w:r>
        <w:rPr>
          <w:rFonts w:hint="eastAsia" w:ascii="仿宋_GB2312" w:hAnsi="ˎ̥" w:eastAsia="仿宋_GB2312"/>
          <w:color w:val="auto"/>
          <w:sz w:val="32"/>
          <w:szCs w:val="32"/>
          <w:lang w:eastAsia="zh-CN"/>
        </w:rPr>
        <w:t>万元，</w:t>
      </w:r>
      <w:r>
        <w:rPr>
          <w:rFonts w:hint="eastAsia" w:ascii="仿宋_GB2312" w:hAnsi="ˎ̥" w:eastAsia="仿宋_GB2312"/>
          <w:color w:val="auto"/>
          <w:sz w:val="32"/>
          <w:szCs w:val="32"/>
        </w:rPr>
        <w:t>占</w:t>
      </w:r>
      <w:r>
        <w:rPr>
          <w:rFonts w:hint="eastAsia" w:ascii="仿宋_GB2312" w:hAnsi="ˎ̥" w:eastAsia="仿宋_GB2312"/>
          <w:color w:val="auto"/>
          <w:sz w:val="32"/>
          <w:szCs w:val="32"/>
          <w:lang w:val="en-US" w:eastAsia="zh-CN"/>
        </w:rPr>
        <w:t>0.7</w:t>
      </w:r>
      <w:r>
        <w:rPr>
          <w:rFonts w:hint="eastAsia" w:ascii="仿宋_GB2312" w:hAnsi="ˎ̥" w:eastAsia="仿宋_GB2312"/>
          <w:color w:val="auto"/>
          <w:sz w:val="32"/>
          <w:szCs w:val="32"/>
        </w:rPr>
        <w:t>%</w:t>
      </w:r>
      <w:r>
        <w:rPr>
          <w:rFonts w:hint="eastAsia" w:ascii="仿宋_GB2312" w:hAnsi="ˎ̥" w:eastAsia="仿宋_GB2312"/>
          <w:color w:val="auto"/>
          <w:sz w:val="32"/>
          <w:szCs w:val="32"/>
          <w:lang w:eastAsia="zh-CN"/>
        </w:rPr>
        <w:t>。</w:t>
      </w:r>
    </w:p>
    <w:p w14:paraId="5F7CA5A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bookmarkStart w:id="90" w:name="_Toc29364_WPSOffice_Level2"/>
      <w:bookmarkStart w:id="91" w:name="_Toc25136_WPSOffice_Level2"/>
      <w:bookmarkStart w:id="92" w:name="_Toc15415_WPSOffice_Level2"/>
      <w:bookmarkStart w:id="93" w:name="_Toc9502_WPSOffice_Level2"/>
      <w:bookmarkStart w:id="94" w:name="_Toc22318_WPSOffice_Level2"/>
      <w:bookmarkStart w:id="95" w:name="_Toc21701_WPSOffice_Level2"/>
      <w:r>
        <w:rPr>
          <w:rFonts w:hint="eastAsia" w:ascii="楷体" w:hAnsi="楷体" w:eastAsia="楷体" w:cs="楷体"/>
          <w:color w:val="auto"/>
          <w:sz w:val="32"/>
          <w:szCs w:val="32"/>
        </w:rPr>
        <w:t>（三）一般公共预算财政拨款支出决算具体情况</w:t>
      </w:r>
      <w:bookmarkEnd w:id="90"/>
      <w:bookmarkEnd w:id="91"/>
      <w:bookmarkEnd w:id="92"/>
      <w:bookmarkEnd w:id="93"/>
      <w:bookmarkEnd w:id="94"/>
      <w:bookmarkEnd w:id="95"/>
    </w:p>
    <w:p w14:paraId="074B3DF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default" w:ascii="仿宋_GB2312" w:hAnsi="ˎ̥" w:eastAsia="仿宋_GB2312"/>
          <w:color w:val="auto"/>
          <w:sz w:val="32"/>
          <w:szCs w:val="32"/>
          <w:lang w:val="en-US"/>
        </w:rPr>
        <w:t>2024</w:t>
      </w:r>
      <w:r>
        <w:rPr>
          <w:rFonts w:hint="eastAsia" w:ascii="仿宋_GB2312" w:hAnsi="ˎ̥" w:eastAsia="仿宋_GB2312"/>
          <w:color w:val="auto"/>
          <w:sz w:val="32"/>
          <w:szCs w:val="32"/>
        </w:rPr>
        <w:t>年度一般公共预算财政拨款支出年初预算为</w:t>
      </w:r>
      <w:r>
        <w:rPr>
          <w:rFonts w:hint="eastAsia" w:ascii="仿宋_GB2312" w:hAnsi="ˎ̥" w:eastAsia="仿宋_GB2312"/>
          <w:color w:val="auto"/>
          <w:sz w:val="32"/>
          <w:szCs w:val="32"/>
          <w:lang w:val="en-US" w:eastAsia="zh-CN"/>
        </w:rPr>
        <w:t>2081.77</w:t>
      </w:r>
      <w:r>
        <w:rPr>
          <w:rFonts w:hint="eastAsia" w:ascii="仿宋_GB2312" w:hAnsi="ˎ̥" w:eastAsia="仿宋_GB2312"/>
          <w:color w:val="auto"/>
          <w:sz w:val="32"/>
          <w:szCs w:val="32"/>
        </w:rPr>
        <w:t>万元，支出决算为</w:t>
      </w:r>
      <w:r>
        <w:rPr>
          <w:rFonts w:hint="eastAsia" w:ascii="仿宋_GB2312" w:hAnsi="ˎ̥" w:eastAsia="仿宋_GB2312"/>
          <w:color w:val="auto"/>
          <w:sz w:val="32"/>
          <w:szCs w:val="32"/>
          <w:lang w:val="en-US" w:eastAsia="zh-CN"/>
        </w:rPr>
        <w:t>2081.77</w:t>
      </w:r>
      <w:r>
        <w:rPr>
          <w:rFonts w:hint="eastAsia" w:ascii="仿宋_GB2312" w:hAnsi="ˎ̥" w:eastAsia="仿宋_GB2312"/>
          <w:color w:val="auto"/>
          <w:sz w:val="32"/>
          <w:szCs w:val="32"/>
        </w:rPr>
        <w:t>万元，完成年初预算的</w:t>
      </w:r>
      <w:r>
        <w:rPr>
          <w:rFonts w:hint="eastAsia" w:ascii="仿宋_GB2312" w:hAnsi="ˎ̥" w:eastAsia="仿宋_GB2312"/>
          <w:color w:val="auto"/>
          <w:sz w:val="32"/>
          <w:szCs w:val="32"/>
          <w:lang w:val="en-US" w:eastAsia="zh-CN"/>
        </w:rPr>
        <w:t>100</w:t>
      </w:r>
      <w:r>
        <w:rPr>
          <w:rFonts w:hint="eastAsia" w:ascii="仿宋_GB2312" w:hAnsi="ˎ̥" w:eastAsia="仿宋_GB2312"/>
          <w:color w:val="auto"/>
          <w:sz w:val="32"/>
          <w:szCs w:val="32"/>
        </w:rPr>
        <w:t>%。其中：</w:t>
      </w:r>
    </w:p>
    <w:p w14:paraId="75532272">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3" w:firstLineChars="200"/>
        <w:textAlignment w:val="auto"/>
        <w:rPr>
          <w:rFonts w:hint="eastAsia" w:ascii="仿宋_GB2312" w:hAnsi="ˎ̥" w:eastAsia="仿宋_GB2312"/>
          <w:b/>
          <w:color w:val="auto"/>
          <w:sz w:val="32"/>
          <w:szCs w:val="32"/>
          <w:lang w:val="en-US" w:eastAsia="zh-CN"/>
        </w:rPr>
      </w:pPr>
      <w:r>
        <w:rPr>
          <w:rFonts w:hint="eastAsia" w:ascii="仿宋_GB2312" w:hAnsi="ˎ̥" w:eastAsia="仿宋_GB2312"/>
          <w:b/>
          <w:color w:val="auto"/>
          <w:sz w:val="32"/>
          <w:szCs w:val="32"/>
          <w:lang w:val="en-US" w:eastAsia="zh-CN"/>
        </w:rPr>
        <w:t>1.社会保障和就业（类）行政事业单位养老（款）机关事业单位基本养老保险缴费（项）</w:t>
      </w:r>
    </w:p>
    <w:p w14:paraId="26C9617C">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_GB2312" w:hAnsi="ˎ̥" w:eastAsia="仿宋_GB2312"/>
          <w:color w:val="auto"/>
          <w:sz w:val="32"/>
          <w:szCs w:val="32"/>
        </w:rPr>
        <w:t>年初预算为</w:t>
      </w:r>
      <w:r>
        <w:rPr>
          <w:rFonts w:hint="eastAsia" w:ascii="仿宋_GB2312" w:hAnsi="ˎ̥" w:eastAsia="仿宋_GB2312"/>
          <w:color w:val="auto"/>
          <w:sz w:val="32"/>
          <w:szCs w:val="32"/>
          <w:lang w:val="en-US" w:eastAsia="zh-CN"/>
        </w:rPr>
        <w:t>17.43</w:t>
      </w:r>
      <w:r>
        <w:rPr>
          <w:rFonts w:hint="eastAsia" w:ascii="仿宋_GB2312" w:hAnsi="ˎ̥" w:eastAsia="仿宋_GB2312"/>
          <w:color w:val="auto"/>
          <w:sz w:val="32"/>
          <w:szCs w:val="32"/>
        </w:rPr>
        <w:t>万元，支出决算为</w:t>
      </w:r>
      <w:r>
        <w:rPr>
          <w:rFonts w:hint="eastAsia" w:ascii="仿宋_GB2312" w:hAnsi="ˎ̥" w:eastAsia="仿宋_GB2312"/>
          <w:color w:val="auto"/>
          <w:sz w:val="32"/>
          <w:szCs w:val="32"/>
          <w:lang w:val="en-US" w:eastAsia="zh-CN"/>
        </w:rPr>
        <w:t>17.43</w:t>
      </w:r>
      <w:r>
        <w:rPr>
          <w:rFonts w:hint="eastAsia" w:ascii="仿宋_GB2312" w:hAnsi="ˎ̥" w:eastAsia="仿宋_GB2312"/>
          <w:color w:val="auto"/>
          <w:sz w:val="32"/>
          <w:szCs w:val="32"/>
        </w:rPr>
        <w:t>万元，完成年初预算的</w:t>
      </w:r>
      <w:r>
        <w:rPr>
          <w:rFonts w:hint="eastAsia" w:ascii="仿宋_GB2312" w:hAnsi="ˎ̥" w:eastAsia="仿宋_GB2312"/>
          <w:color w:val="auto"/>
          <w:sz w:val="32"/>
          <w:szCs w:val="32"/>
          <w:lang w:val="en-US" w:eastAsia="zh-CN"/>
        </w:rPr>
        <w:t>100</w:t>
      </w:r>
      <w:r>
        <w:rPr>
          <w:rFonts w:hint="eastAsia" w:ascii="仿宋_GB2312" w:hAnsi="ˎ̥" w:eastAsia="仿宋_GB2312"/>
          <w:color w:val="auto"/>
          <w:sz w:val="32"/>
          <w:szCs w:val="32"/>
        </w:rPr>
        <w:t>%。</w:t>
      </w:r>
    </w:p>
    <w:p w14:paraId="387E8F53">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3" w:firstLineChars="200"/>
        <w:textAlignment w:val="auto"/>
        <w:rPr>
          <w:rFonts w:hint="eastAsia" w:ascii="仿宋_GB2312" w:hAnsi="ˎ̥" w:eastAsia="仿宋_GB2312"/>
          <w:b/>
          <w:color w:val="auto"/>
          <w:sz w:val="32"/>
          <w:szCs w:val="32"/>
          <w:lang w:val="en-US" w:eastAsia="zh-CN"/>
        </w:rPr>
      </w:pPr>
      <w:r>
        <w:rPr>
          <w:rFonts w:hint="eastAsia" w:ascii="仿宋_GB2312" w:hAnsi="ˎ̥" w:eastAsia="仿宋_GB2312"/>
          <w:b/>
          <w:color w:val="auto"/>
          <w:sz w:val="32"/>
          <w:szCs w:val="32"/>
          <w:lang w:val="en-US" w:eastAsia="zh-CN"/>
        </w:rPr>
        <w:t>2.社会保障和就业（类）行政事业单位养老（款）机关事业单位职业年金缴费（项）</w:t>
      </w:r>
    </w:p>
    <w:p w14:paraId="1DCFD088">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_GB2312" w:hAnsi="ˎ̥" w:eastAsia="仿宋_GB2312"/>
          <w:color w:val="auto"/>
          <w:sz w:val="32"/>
          <w:szCs w:val="32"/>
        </w:rPr>
        <w:t>年初预算为</w:t>
      </w:r>
      <w:r>
        <w:rPr>
          <w:rFonts w:hint="eastAsia" w:ascii="仿宋_GB2312" w:hAnsi="ˎ̥" w:eastAsia="仿宋_GB2312"/>
          <w:color w:val="auto"/>
          <w:sz w:val="32"/>
          <w:szCs w:val="32"/>
          <w:lang w:val="en-US" w:eastAsia="zh-CN"/>
        </w:rPr>
        <w:t>12.04</w:t>
      </w:r>
      <w:r>
        <w:rPr>
          <w:rFonts w:hint="eastAsia" w:ascii="仿宋_GB2312" w:hAnsi="ˎ̥" w:eastAsia="仿宋_GB2312"/>
          <w:color w:val="auto"/>
          <w:sz w:val="32"/>
          <w:szCs w:val="32"/>
        </w:rPr>
        <w:t>万元，支出决算为</w:t>
      </w:r>
      <w:r>
        <w:rPr>
          <w:rFonts w:hint="eastAsia" w:ascii="仿宋_GB2312" w:hAnsi="ˎ̥" w:eastAsia="仿宋_GB2312"/>
          <w:color w:val="auto"/>
          <w:sz w:val="32"/>
          <w:szCs w:val="32"/>
          <w:lang w:val="en-US" w:eastAsia="zh-CN"/>
        </w:rPr>
        <w:t>12.04</w:t>
      </w:r>
      <w:r>
        <w:rPr>
          <w:rFonts w:hint="eastAsia" w:ascii="仿宋_GB2312" w:hAnsi="ˎ̥" w:eastAsia="仿宋_GB2312"/>
          <w:color w:val="auto"/>
          <w:sz w:val="32"/>
          <w:szCs w:val="32"/>
        </w:rPr>
        <w:t>万元，完成年初预算的</w:t>
      </w:r>
      <w:r>
        <w:rPr>
          <w:rFonts w:hint="eastAsia" w:ascii="仿宋_GB2312" w:hAnsi="ˎ̥" w:eastAsia="仿宋_GB2312"/>
          <w:color w:val="auto"/>
          <w:sz w:val="32"/>
          <w:szCs w:val="32"/>
          <w:lang w:val="en-US" w:eastAsia="zh-CN"/>
        </w:rPr>
        <w:t>100</w:t>
      </w:r>
      <w:r>
        <w:rPr>
          <w:rFonts w:hint="eastAsia" w:ascii="仿宋_GB2312" w:hAnsi="ˎ̥" w:eastAsia="仿宋_GB2312"/>
          <w:color w:val="auto"/>
          <w:sz w:val="32"/>
          <w:szCs w:val="32"/>
        </w:rPr>
        <w:t>%。</w:t>
      </w:r>
    </w:p>
    <w:p w14:paraId="759AEE43">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3" w:firstLineChars="200"/>
        <w:textAlignment w:val="auto"/>
        <w:rPr>
          <w:rFonts w:hint="eastAsia" w:ascii="仿宋_GB2312" w:hAnsi="ˎ̥" w:eastAsia="仿宋_GB2312"/>
          <w:b/>
          <w:color w:val="auto"/>
          <w:sz w:val="32"/>
          <w:szCs w:val="32"/>
          <w:lang w:val="en-US" w:eastAsia="zh-CN"/>
        </w:rPr>
      </w:pPr>
      <w:r>
        <w:rPr>
          <w:rFonts w:hint="eastAsia" w:ascii="仿宋_GB2312" w:hAnsi="ˎ̥" w:eastAsia="仿宋_GB2312"/>
          <w:b/>
          <w:color w:val="auto"/>
          <w:sz w:val="32"/>
          <w:szCs w:val="32"/>
          <w:lang w:val="en-US" w:eastAsia="zh-CN"/>
        </w:rPr>
        <w:t>3.卫生健康（类）行政事业单位医疗（款）事业单位医疗（项）</w:t>
      </w:r>
    </w:p>
    <w:p w14:paraId="147D6578">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_GB2312" w:hAnsi="ˎ̥" w:eastAsia="仿宋_GB2312"/>
          <w:color w:val="auto"/>
          <w:sz w:val="32"/>
          <w:szCs w:val="32"/>
        </w:rPr>
        <w:t>年初预算为</w:t>
      </w:r>
      <w:r>
        <w:rPr>
          <w:rFonts w:hint="eastAsia" w:ascii="仿宋_GB2312" w:hAnsi="ˎ̥" w:eastAsia="仿宋_GB2312"/>
          <w:color w:val="auto"/>
          <w:sz w:val="32"/>
          <w:szCs w:val="32"/>
          <w:lang w:val="en-US" w:eastAsia="zh-CN"/>
        </w:rPr>
        <w:t>7.05</w:t>
      </w:r>
      <w:r>
        <w:rPr>
          <w:rFonts w:hint="eastAsia" w:ascii="仿宋_GB2312" w:hAnsi="ˎ̥" w:eastAsia="仿宋_GB2312"/>
          <w:color w:val="auto"/>
          <w:sz w:val="32"/>
          <w:szCs w:val="32"/>
        </w:rPr>
        <w:t>万元，支出决算为</w:t>
      </w:r>
      <w:r>
        <w:rPr>
          <w:rFonts w:hint="eastAsia" w:ascii="仿宋_GB2312" w:hAnsi="ˎ̥" w:eastAsia="仿宋_GB2312"/>
          <w:color w:val="auto"/>
          <w:sz w:val="32"/>
          <w:szCs w:val="32"/>
          <w:lang w:val="en-US" w:eastAsia="zh-CN"/>
        </w:rPr>
        <w:t>7.05</w:t>
      </w:r>
      <w:r>
        <w:rPr>
          <w:rFonts w:hint="eastAsia" w:ascii="仿宋_GB2312" w:hAnsi="ˎ̥" w:eastAsia="仿宋_GB2312"/>
          <w:color w:val="auto"/>
          <w:sz w:val="32"/>
          <w:szCs w:val="32"/>
        </w:rPr>
        <w:t>万元，完成年初预算的</w:t>
      </w:r>
      <w:r>
        <w:rPr>
          <w:rFonts w:hint="eastAsia" w:ascii="仿宋_GB2312" w:hAnsi="ˎ̥" w:eastAsia="仿宋_GB2312"/>
          <w:color w:val="auto"/>
          <w:sz w:val="32"/>
          <w:szCs w:val="32"/>
          <w:lang w:val="en-US" w:eastAsia="zh-CN"/>
        </w:rPr>
        <w:t>100</w:t>
      </w:r>
      <w:r>
        <w:rPr>
          <w:rFonts w:hint="eastAsia" w:ascii="仿宋_GB2312" w:hAnsi="ˎ̥" w:eastAsia="仿宋_GB2312"/>
          <w:color w:val="auto"/>
          <w:sz w:val="32"/>
          <w:szCs w:val="32"/>
        </w:rPr>
        <w:t>%。</w:t>
      </w:r>
    </w:p>
    <w:p w14:paraId="6439E6CF">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3" w:firstLineChars="200"/>
        <w:textAlignment w:val="auto"/>
        <w:rPr>
          <w:rFonts w:hint="eastAsia" w:ascii="仿宋_GB2312" w:hAnsi="ˎ̥" w:eastAsia="仿宋_GB2312"/>
          <w:b/>
          <w:color w:val="auto"/>
          <w:sz w:val="32"/>
          <w:szCs w:val="32"/>
          <w:lang w:val="en-US" w:eastAsia="zh-CN"/>
        </w:rPr>
      </w:pPr>
      <w:r>
        <w:rPr>
          <w:rFonts w:hint="eastAsia" w:ascii="仿宋_GB2312" w:hAnsi="ˎ̥" w:eastAsia="仿宋_GB2312"/>
          <w:b/>
          <w:color w:val="auto"/>
          <w:sz w:val="32"/>
          <w:szCs w:val="32"/>
          <w:lang w:val="en-US" w:eastAsia="zh-CN"/>
        </w:rPr>
        <w:t>4.卫生健康（类）行政事业单位医疗（款）公务员医疗补助（项）</w:t>
      </w:r>
    </w:p>
    <w:p w14:paraId="22E2434A">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lang w:eastAsia="zh-CN"/>
        </w:rPr>
      </w:pPr>
      <w:r>
        <w:rPr>
          <w:rFonts w:hint="eastAsia" w:ascii="仿宋_GB2312" w:hAnsi="ˎ̥" w:eastAsia="仿宋_GB2312"/>
          <w:color w:val="auto"/>
          <w:sz w:val="32"/>
          <w:szCs w:val="32"/>
        </w:rPr>
        <w:t>年初预算为</w:t>
      </w:r>
      <w:r>
        <w:rPr>
          <w:rFonts w:hint="eastAsia" w:ascii="仿宋_GB2312" w:hAnsi="ˎ̥" w:eastAsia="仿宋_GB2312"/>
          <w:color w:val="auto"/>
          <w:sz w:val="32"/>
          <w:szCs w:val="32"/>
          <w:lang w:val="en-US" w:eastAsia="zh-CN"/>
        </w:rPr>
        <w:t>12.17</w:t>
      </w:r>
      <w:r>
        <w:rPr>
          <w:rFonts w:hint="eastAsia" w:ascii="仿宋_GB2312" w:hAnsi="ˎ̥" w:eastAsia="仿宋_GB2312"/>
          <w:color w:val="auto"/>
          <w:sz w:val="32"/>
          <w:szCs w:val="32"/>
        </w:rPr>
        <w:t>万元，支出决算为</w:t>
      </w:r>
      <w:r>
        <w:rPr>
          <w:rFonts w:hint="eastAsia" w:ascii="仿宋_GB2312" w:hAnsi="ˎ̥" w:eastAsia="仿宋_GB2312"/>
          <w:color w:val="auto"/>
          <w:sz w:val="32"/>
          <w:szCs w:val="32"/>
          <w:lang w:val="en-US" w:eastAsia="zh-CN"/>
        </w:rPr>
        <w:t>12.17</w:t>
      </w:r>
      <w:r>
        <w:rPr>
          <w:rFonts w:hint="eastAsia" w:ascii="仿宋_GB2312" w:hAnsi="ˎ̥" w:eastAsia="仿宋_GB2312"/>
          <w:color w:val="auto"/>
          <w:sz w:val="32"/>
          <w:szCs w:val="32"/>
        </w:rPr>
        <w:t>万元，完成年初预算的</w:t>
      </w:r>
      <w:r>
        <w:rPr>
          <w:rFonts w:hint="eastAsia" w:ascii="仿宋_GB2312" w:hAnsi="ˎ̥" w:eastAsia="仿宋_GB2312"/>
          <w:color w:val="auto"/>
          <w:sz w:val="32"/>
          <w:szCs w:val="32"/>
          <w:lang w:val="en-US" w:eastAsia="zh-CN"/>
        </w:rPr>
        <w:t>100</w:t>
      </w:r>
      <w:r>
        <w:rPr>
          <w:rFonts w:hint="eastAsia" w:ascii="仿宋_GB2312" w:hAnsi="ˎ̥" w:eastAsia="仿宋_GB2312"/>
          <w:color w:val="auto"/>
          <w:sz w:val="32"/>
          <w:szCs w:val="32"/>
        </w:rPr>
        <w:t>%。</w:t>
      </w:r>
    </w:p>
    <w:p w14:paraId="4A2B32AF">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3" w:firstLineChars="200"/>
        <w:textAlignment w:val="auto"/>
        <w:rPr>
          <w:rFonts w:hint="default" w:ascii="仿宋_GB2312" w:hAnsi="ˎ̥" w:eastAsia="仿宋_GB2312"/>
          <w:b/>
          <w:color w:val="auto"/>
          <w:sz w:val="32"/>
          <w:szCs w:val="32"/>
          <w:lang w:val="en-US" w:eastAsia="zh-CN"/>
        </w:rPr>
      </w:pPr>
      <w:r>
        <w:rPr>
          <w:rFonts w:hint="eastAsia" w:ascii="仿宋_GB2312" w:hAnsi="ˎ̥" w:eastAsia="仿宋_GB2312"/>
          <w:b/>
          <w:color w:val="auto"/>
          <w:sz w:val="32"/>
          <w:szCs w:val="32"/>
          <w:lang w:val="en-US" w:eastAsia="zh-CN"/>
        </w:rPr>
        <w:t>5.节能环保（类）自然生态保护（款）自然保护地（项）</w:t>
      </w:r>
    </w:p>
    <w:p w14:paraId="3255B01F">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_GB2312" w:hAnsi="ˎ̥" w:eastAsia="仿宋_GB2312"/>
          <w:color w:val="auto"/>
          <w:sz w:val="32"/>
          <w:szCs w:val="32"/>
        </w:rPr>
        <w:t>年初预算为</w:t>
      </w:r>
      <w:r>
        <w:rPr>
          <w:rFonts w:hint="eastAsia" w:ascii="仿宋_GB2312" w:hAnsi="ˎ̥" w:eastAsia="仿宋_GB2312"/>
          <w:color w:val="auto"/>
          <w:sz w:val="32"/>
          <w:szCs w:val="32"/>
          <w:lang w:val="en-US" w:eastAsia="zh-CN"/>
        </w:rPr>
        <w:t>275.21</w:t>
      </w:r>
      <w:r>
        <w:rPr>
          <w:rFonts w:hint="eastAsia" w:ascii="仿宋_GB2312" w:hAnsi="ˎ̥" w:eastAsia="仿宋_GB2312"/>
          <w:color w:val="auto"/>
          <w:sz w:val="32"/>
          <w:szCs w:val="32"/>
        </w:rPr>
        <w:t>万元，支出决算为</w:t>
      </w:r>
      <w:r>
        <w:rPr>
          <w:rFonts w:hint="eastAsia" w:ascii="仿宋_GB2312" w:hAnsi="ˎ̥" w:eastAsia="仿宋_GB2312"/>
          <w:color w:val="auto"/>
          <w:sz w:val="32"/>
          <w:szCs w:val="32"/>
          <w:lang w:val="en-US" w:eastAsia="zh-CN"/>
        </w:rPr>
        <w:t>275.21</w:t>
      </w:r>
      <w:r>
        <w:rPr>
          <w:rFonts w:hint="eastAsia" w:ascii="仿宋_GB2312" w:hAnsi="ˎ̥" w:eastAsia="仿宋_GB2312"/>
          <w:color w:val="auto"/>
          <w:sz w:val="32"/>
          <w:szCs w:val="32"/>
        </w:rPr>
        <w:t>万元，完成年初预算的</w:t>
      </w:r>
      <w:r>
        <w:rPr>
          <w:rFonts w:hint="eastAsia" w:ascii="仿宋_GB2312" w:hAnsi="ˎ̥" w:eastAsia="仿宋_GB2312"/>
          <w:color w:val="auto"/>
          <w:sz w:val="32"/>
          <w:szCs w:val="32"/>
          <w:lang w:val="en-US" w:eastAsia="zh-CN"/>
        </w:rPr>
        <w:t>100</w:t>
      </w:r>
      <w:r>
        <w:rPr>
          <w:rFonts w:hint="eastAsia" w:ascii="仿宋_GB2312" w:hAnsi="ˎ̥" w:eastAsia="仿宋_GB2312"/>
          <w:color w:val="auto"/>
          <w:sz w:val="32"/>
          <w:szCs w:val="32"/>
        </w:rPr>
        <w:t>%。</w:t>
      </w:r>
    </w:p>
    <w:p w14:paraId="4AD6A2AE">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3" w:firstLineChars="200"/>
        <w:textAlignment w:val="auto"/>
        <w:rPr>
          <w:rFonts w:hint="default" w:ascii="仿宋_GB2312" w:hAnsi="ˎ̥" w:eastAsia="仿宋_GB2312"/>
          <w:b/>
          <w:color w:val="auto"/>
          <w:sz w:val="32"/>
          <w:szCs w:val="32"/>
          <w:lang w:val="en-US" w:eastAsia="zh-CN"/>
        </w:rPr>
      </w:pPr>
      <w:r>
        <w:rPr>
          <w:rFonts w:hint="eastAsia" w:ascii="仿宋_GB2312" w:hAnsi="ˎ̥" w:eastAsia="仿宋_GB2312"/>
          <w:b/>
          <w:color w:val="auto"/>
          <w:sz w:val="32"/>
          <w:szCs w:val="32"/>
          <w:lang w:val="en-US" w:eastAsia="zh-CN"/>
        </w:rPr>
        <w:t>6.节能环保（类）森林保护修复（款）森林管护（项）</w:t>
      </w:r>
    </w:p>
    <w:p w14:paraId="6405FC90">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_GB2312" w:hAnsi="ˎ̥" w:eastAsia="仿宋_GB2312"/>
          <w:color w:val="auto"/>
          <w:sz w:val="32"/>
          <w:szCs w:val="32"/>
        </w:rPr>
        <w:t>年初预算为</w:t>
      </w:r>
      <w:r>
        <w:rPr>
          <w:rFonts w:hint="eastAsia" w:ascii="仿宋_GB2312" w:hAnsi="ˎ̥" w:eastAsia="仿宋_GB2312"/>
          <w:color w:val="auto"/>
          <w:sz w:val="32"/>
          <w:szCs w:val="32"/>
          <w:lang w:val="en-US" w:eastAsia="zh-CN"/>
        </w:rPr>
        <w:t>1063.98</w:t>
      </w:r>
      <w:r>
        <w:rPr>
          <w:rFonts w:hint="eastAsia" w:ascii="仿宋_GB2312" w:hAnsi="ˎ̥" w:eastAsia="仿宋_GB2312"/>
          <w:color w:val="auto"/>
          <w:sz w:val="32"/>
          <w:szCs w:val="32"/>
        </w:rPr>
        <w:t>万元，支出决算为</w:t>
      </w:r>
      <w:r>
        <w:rPr>
          <w:rFonts w:hint="eastAsia" w:ascii="仿宋_GB2312" w:hAnsi="ˎ̥" w:eastAsia="仿宋_GB2312"/>
          <w:color w:val="auto"/>
          <w:sz w:val="32"/>
          <w:szCs w:val="32"/>
          <w:lang w:val="en-US" w:eastAsia="zh-CN"/>
        </w:rPr>
        <w:t>1063.98</w:t>
      </w:r>
      <w:r>
        <w:rPr>
          <w:rFonts w:hint="eastAsia" w:ascii="仿宋_GB2312" w:hAnsi="ˎ̥" w:eastAsia="仿宋_GB2312"/>
          <w:color w:val="auto"/>
          <w:sz w:val="32"/>
          <w:szCs w:val="32"/>
        </w:rPr>
        <w:t>万元，完成年初预算的</w:t>
      </w:r>
      <w:r>
        <w:rPr>
          <w:rFonts w:hint="eastAsia" w:ascii="仿宋_GB2312" w:hAnsi="ˎ̥" w:eastAsia="仿宋_GB2312"/>
          <w:color w:val="auto"/>
          <w:sz w:val="32"/>
          <w:szCs w:val="32"/>
          <w:lang w:val="en-US" w:eastAsia="zh-CN"/>
        </w:rPr>
        <w:t>100</w:t>
      </w:r>
      <w:r>
        <w:rPr>
          <w:rFonts w:hint="eastAsia" w:ascii="仿宋_GB2312" w:hAnsi="ˎ̥" w:eastAsia="仿宋_GB2312"/>
          <w:color w:val="auto"/>
          <w:sz w:val="32"/>
          <w:szCs w:val="32"/>
        </w:rPr>
        <w:t>%。</w:t>
      </w:r>
    </w:p>
    <w:p w14:paraId="7D92A333">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3" w:firstLineChars="200"/>
        <w:textAlignment w:val="auto"/>
        <w:rPr>
          <w:rFonts w:hint="default" w:ascii="仿宋_GB2312" w:hAnsi="ˎ̥" w:eastAsia="仿宋_GB2312"/>
          <w:b/>
          <w:color w:val="auto"/>
          <w:sz w:val="32"/>
          <w:szCs w:val="32"/>
          <w:lang w:val="en-US" w:eastAsia="zh-CN"/>
        </w:rPr>
      </w:pPr>
      <w:r>
        <w:rPr>
          <w:rFonts w:hint="eastAsia" w:ascii="仿宋_GB2312" w:hAnsi="ˎ̥" w:eastAsia="仿宋_GB2312"/>
          <w:b/>
          <w:color w:val="auto"/>
          <w:sz w:val="32"/>
          <w:szCs w:val="32"/>
          <w:lang w:val="en-US" w:eastAsia="zh-CN"/>
        </w:rPr>
        <w:t>7.节能环保（类）森林保护修复（款）社会保险补助（项）</w:t>
      </w:r>
    </w:p>
    <w:p w14:paraId="5F33B74D">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lang w:eastAsia="zh-CN"/>
        </w:rPr>
      </w:pPr>
      <w:r>
        <w:rPr>
          <w:rFonts w:hint="eastAsia" w:ascii="仿宋_GB2312" w:hAnsi="ˎ̥" w:eastAsia="仿宋_GB2312"/>
          <w:color w:val="auto"/>
          <w:sz w:val="32"/>
          <w:szCs w:val="32"/>
        </w:rPr>
        <w:t>年初预算为</w:t>
      </w:r>
      <w:r>
        <w:rPr>
          <w:rFonts w:hint="eastAsia" w:ascii="仿宋_GB2312" w:hAnsi="ˎ̥" w:eastAsia="仿宋_GB2312"/>
          <w:color w:val="auto"/>
          <w:sz w:val="32"/>
          <w:szCs w:val="32"/>
          <w:lang w:val="en-US" w:eastAsia="zh-CN"/>
        </w:rPr>
        <w:t>210.15</w:t>
      </w:r>
      <w:r>
        <w:rPr>
          <w:rFonts w:hint="eastAsia" w:ascii="仿宋_GB2312" w:hAnsi="ˎ̥" w:eastAsia="仿宋_GB2312"/>
          <w:color w:val="auto"/>
          <w:sz w:val="32"/>
          <w:szCs w:val="32"/>
        </w:rPr>
        <w:t>万元，支出决算为</w:t>
      </w:r>
      <w:r>
        <w:rPr>
          <w:rFonts w:hint="eastAsia" w:ascii="仿宋_GB2312" w:hAnsi="ˎ̥" w:eastAsia="仿宋_GB2312"/>
          <w:color w:val="auto"/>
          <w:sz w:val="32"/>
          <w:szCs w:val="32"/>
          <w:lang w:val="en-US" w:eastAsia="zh-CN"/>
        </w:rPr>
        <w:t>210.15</w:t>
      </w:r>
      <w:r>
        <w:rPr>
          <w:rFonts w:hint="eastAsia" w:ascii="仿宋_GB2312" w:hAnsi="ˎ̥" w:eastAsia="仿宋_GB2312"/>
          <w:color w:val="auto"/>
          <w:sz w:val="32"/>
          <w:szCs w:val="32"/>
        </w:rPr>
        <w:t>万元，完成年初预算的</w:t>
      </w:r>
      <w:r>
        <w:rPr>
          <w:rFonts w:hint="eastAsia" w:ascii="仿宋_GB2312" w:hAnsi="ˎ̥" w:eastAsia="仿宋_GB2312"/>
          <w:color w:val="auto"/>
          <w:sz w:val="32"/>
          <w:szCs w:val="32"/>
          <w:lang w:val="en-US" w:eastAsia="zh-CN"/>
        </w:rPr>
        <w:t>100</w:t>
      </w:r>
      <w:r>
        <w:rPr>
          <w:rFonts w:hint="eastAsia" w:ascii="仿宋_GB2312" w:hAnsi="ˎ̥" w:eastAsia="仿宋_GB2312"/>
          <w:color w:val="auto"/>
          <w:sz w:val="32"/>
          <w:szCs w:val="32"/>
        </w:rPr>
        <w:t>%。</w:t>
      </w:r>
    </w:p>
    <w:p w14:paraId="2A539E65">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3" w:firstLineChars="200"/>
        <w:textAlignment w:val="auto"/>
        <w:rPr>
          <w:rFonts w:hint="default" w:ascii="仿宋_GB2312" w:hAnsi="ˎ̥" w:eastAsia="仿宋_GB2312"/>
          <w:b/>
          <w:color w:val="auto"/>
          <w:sz w:val="32"/>
          <w:szCs w:val="32"/>
          <w:lang w:val="en-US" w:eastAsia="zh-CN"/>
        </w:rPr>
      </w:pPr>
      <w:r>
        <w:rPr>
          <w:rFonts w:hint="eastAsia" w:ascii="仿宋_GB2312" w:hAnsi="ˎ̥" w:eastAsia="仿宋_GB2312"/>
          <w:b/>
          <w:color w:val="auto"/>
          <w:sz w:val="32"/>
          <w:szCs w:val="32"/>
          <w:lang w:val="en-US" w:eastAsia="zh-CN"/>
        </w:rPr>
        <w:t>8.农林水（类）林业和草原（款）事业机构（项）</w:t>
      </w:r>
    </w:p>
    <w:p w14:paraId="1A2F23BF">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_GB2312" w:hAnsi="ˎ̥" w:eastAsia="仿宋_GB2312"/>
          <w:color w:val="auto"/>
          <w:sz w:val="32"/>
          <w:szCs w:val="32"/>
        </w:rPr>
        <w:t>年初预算为</w:t>
      </w:r>
      <w:r>
        <w:rPr>
          <w:rFonts w:hint="eastAsia" w:ascii="仿宋_GB2312" w:hAnsi="ˎ̥" w:eastAsia="仿宋_GB2312"/>
          <w:color w:val="auto"/>
          <w:sz w:val="32"/>
          <w:szCs w:val="32"/>
          <w:lang w:val="en-US" w:eastAsia="zh-CN"/>
        </w:rPr>
        <w:t>160.31</w:t>
      </w:r>
      <w:r>
        <w:rPr>
          <w:rFonts w:hint="eastAsia" w:ascii="仿宋_GB2312" w:hAnsi="ˎ̥" w:eastAsia="仿宋_GB2312"/>
          <w:color w:val="auto"/>
          <w:sz w:val="32"/>
          <w:szCs w:val="32"/>
        </w:rPr>
        <w:t>万元，支出决算为</w:t>
      </w:r>
      <w:r>
        <w:rPr>
          <w:rFonts w:hint="eastAsia" w:ascii="仿宋_GB2312" w:hAnsi="ˎ̥" w:eastAsia="仿宋_GB2312"/>
          <w:color w:val="auto"/>
          <w:sz w:val="32"/>
          <w:szCs w:val="32"/>
          <w:lang w:val="en-US" w:eastAsia="zh-CN"/>
        </w:rPr>
        <w:t>160.31</w:t>
      </w:r>
      <w:r>
        <w:rPr>
          <w:rFonts w:hint="eastAsia" w:ascii="仿宋_GB2312" w:hAnsi="ˎ̥" w:eastAsia="仿宋_GB2312"/>
          <w:color w:val="auto"/>
          <w:sz w:val="32"/>
          <w:szCs w:val="32"/>
        </w:rPr>
        <w:t>万元，完成年初预算的</w:t>
      </w:r>
      <w:r>
        <w:rPr>
          <w:rFonts w:hint="eastAsia" w:ascii="仿宋_GB2312" w:hAnsi="ˎ̥" w:eastAsia="仿宋_GB2312"/>
          <w:color w:val="auto"/>
          <w:sz w:val="32"/>
          <w:szCs w:val="32"/>
          <w:lang w:val="en-US" w:eastAsia="zh-CN"/>
        </w:rPr>
        <w:t>100</w:t>
      </w:r>
      <w:r>
        <w:rPr>
          <w:rFonts w:hint="eastAsia" w:ascii="仿宋_GB2312" w:hAnsi="ˎ̥" w:eastAsia="仿宋_GB2312"/>
          <w:color w:val="auto"/>
          <w:sz w:val="32"/>
          <w:szCs w:val="32"/>
        </w:rPr>
        <w:t>%。</w:t>
      </w:r>
    </w:p>
    <w:p w14:paraId="7B5E6D39">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3" w:firstLineChars="200"/>
        <w:textAlignment w:val="auto"/>
        <w:rPr>
          <w:rFonts w:hint="default" w:ascii="仿宋_GB2312" w:hAnsi="ˎ̥" w:eastAsia="仿宋_GB2312"/>
          <w:b/>
          <w:color w:val="auto"/>
          <w:sz w:val="32"/>
          <w:szCs w:val="32"/>
          <w:lang w:val="en-US" w:eastAsia="zh-CN"/>
        </w:rPr>
      </w:pPr>
      <w:r>
        <w:rPr>
          <w:rFonts w:hint="eastAsia" w:ascii="仿宋_GB2312" w:hAnsi="ˎ̥" w:eastAsia="仿宋_GB2312"/>
          <w:b/>
          <w:color w:val="auto"/>
          <w:sz w:val="32"/>
          <w:szCs w:val="32"/>
          <w:lang w:val="en-US" w:eastAsia="zh-CN"/>
        </w:rPr>
        <w:t>9.农林水（类）林业和草原（款）森林生态效益补偿（项）</w:t>
      </w:r>
    </w:p>
    <w:p w14:paraId="29992306">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_GB2312" w:hAnsi="ˎ̥" w:eastAsia="仿宋_GB2312"/>
          <w:color w:val="auto"/>
          <w:sz w:val="32"/>
          <w:szCs w:val="32"/>
        </w:rPr>
        <w:t>年初预算为</w:t>
      </w:r>
      <w:r>
        <w:rPr>
          <w:rFonts w:hint="eastAsia" w:ascii="仿宋_GB2312" w:hAnsi="ˎ̥" w:eastAsia="仿宋_GB2312"/>
          <w:color w:val="auto"/>
          <w:sz w:val="32"/>
          <w:szCs w:val="32"/>
          <w:lang w:val="en-US" w:eastAsia="zh-CN"/>
        </w:rPr>
        <w:t>308.82</w:t>
      </w:r>
      <w:r>
        <w:rPr>
          <w:rFonts w:hint="eastAsia" w:ascii="仿宋_GB2312" w:hAnsi="ˎ̥" w:eastAsia="仿宋_GB2312"/>
          <w:color w:val="auto"/>
          <w:sz w:val="32"/>
          <w:szCs w:val="32"/>
        </w:rPr>
        <w:t>万元，支出决算为</w:t>
      </w:r>
      <w:r>
        <w:rPr>
          <w:rFonts w:hint="eastAsia" w:ascii="仿宋_GB2312" w:hAnsi="ˎ̥" w:eastAsia="仿宋_GB2312"/>
          <w:color w:val="auto"/>
          <w:sz w:val="32"/>
          <w:szCs w:val="32"/>
          <w:lang w:val="en-US" w:eastAsia="zh-CN"/>
        </w:rPr>
        <w:t>308.82</w:t>
      </w:r>
      <w:r>
        <w:rPr>
          <w:rFonts w:hint="eastAsia" w:ascii="仿宋_GB2312" w:hAnsi="ˎ̥" w:eastAsia="仿宋_GB2312"/>
          <w:color w:val="auto"/>
          <w:sz w:val="32"/>
          <w:szCs w:val="32"/>
        </w:rPr>
        <w:t>万元，完成年初预算的</w:t>
      </w:r>
      <w:r>
        <w:rPr>
          <w:rFonts w:hint="eastAsia" w:ascii="仿宋_GB2312" w:hAnsi="ˎ̥" w:eastAsia="仿宋_GB2312"/>
          <w:color w:val="auto"/>
          <w:sz w:val="32"/>
          <w:szCs w:val="32"/>
          <w:lang w:val="en-US" w:eastAsia="zh-CN"/>
        </w:rPr>
        <w:t>100</w:t>
      </w:r>
      <w:r>
        <w:rPr>
          <w:rFonts w:hint="eastAsia" w:ascii="仿宋_GB2312" w:hAnsi="ˎ̥" w:eastAsia="仿宋_GB2312"/>
          <w:color w:val="auto"/>
          <w:sz w:val="32"/>
          <w:szCs w:val="32"/>
        </w:rPr>
        <w:t>%。</w:t>
      </w:r>
    </w:p>
    <w:p w14:paraId="15E332EB">
      <w:pPr>
        <w:keepNext w:val="0"/>
        <w:keepLines w:val="0"/>
        <w:pageBreakBefore w:val="0"/>
        <w:widowControl w:val="0"/>
        <w:numPr>
          <w:ilvl w:val="0"/>
          <w:numId w:val="0"/>
        </w:numPr>
        <w:kinsoku/>
        <w:wordWrap/>
        <w:overflowPunct/>
        <w:topLinePunct w:val="0"/>
        <w:autoSpaceDE/>
        <w:autoSpaceDN/>
        <w:bidi w:val="0"/>
        <w:adjustRightInd/>
        <w:snapToGrid/>
        <w:spacing w:line="578" w:lineRule="exact"/>
        <w:textAlignment w:val="auto"/>
        <w:rPr>
          <w:rFonts w:hint="default" w:ascii="仿宋_GB2312" w:hAnsi="ˎ̥" w:eastAsia="仿宋_GB2312"/>
          <w:b/>
          <w:color w:val="auto"/>
          <w:sz w:val="32"/>
          <w:szCs w:val="32"/>
          <w:lang w:val="en-US" w:eastAsia="zh-CN"/>
        </w:rPr>
      </w:pPr>
      <w:r>
        <w:rPr>
          <w:rFonts w:hint="eastAsia" w:ascii="仿宋_GB2312" w:hAnsi="ˎ̥" w:eastAsia="仿宋_GB2312"/>
          <w:b/>
          <w:color w:val="auto"/>
          <w:sz w:val="32"/>
          <w:szCs w:val="32"/>
          <w:lang w:val="en-US" w:eastAsia="zh-CN"/>
        </w:rPr>
        <w:t xml:space="preserve">    10.住房保障</w:t>
      </w:r>
      <w:r>
        <w:rPr>
          <w:rFonts w:hint="eastAsia" w:ascii="仿宋_GB2312" w:hAnsi="ˎ̥" w:eastAsia="仿宋_GB2312"/>
          <w:b/>
          <w:color w:val="auto"/>
          <w:sz w:val="32"/>
          <w:szCs w:val="32"/>
        </w:rPr>
        <w:t>（类）住房改革（款）住房公积金（项）</w:t>
      </w:r>
    </w:p>
    <w:p w14:paraId="123760F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lang w:eastAsia="zh-CN"/>
        </w:rPr>
      </w:pPr>
      <w:r>
        <w:rPr>
          <w:rFonts w:hint="eastAsia" w:ascii="仿宋_GB2312" w:hAnsi="ˎ̥" w:eastAsia="仿宋_GB2312"/>
          <w:color w:val="auto"/>
          <w:sz w:val="32"/>
          <w:szCs w:val="32"/>
        </w:rPr>
        <w:t>年初预算为</w:t>
      </w:r>
      <w:r>
        <w:rPr>
          <w:rFonts w:hint="eastAsia" w:ascii="仿宋_GB2312" w:hAnsi="ˎ̥" w:eastAsia="仿宋_GB2312"/>
          <w:color w:val="auto"/>
          <w:sz w:val="32"/>
          <w:szCs w:val="32"/>
          <w:lang w:val="en-US" w:eastAsia="zh-CN"/>
        </w:rPr>
        <w:t>14.6</w:t>
      </w:r>
      <w:r>
        <w:rPr>
          <w:rFonts w:hint="eastAsia" w:ascii="仿宋_GB2312" w:hAnsi="ˎ̥" w:eastAsia="仿宋_GB2312"/>
          <w:color w:val="auto"/>
          <w:sz w:val="32"/>
          <w:szCs w:val="32"/>
        </w:rPr>
        <w:t>万元，支出决算为</w:t>
      </w:r>
      <w:r>
        <w:rPr>
          <w:rFonts w:hint="eastAsia" w:ascii="仿宋_GB2312" w:hAnsi="ˎ̥" w:eastAsia="仿宋_GB2312"/>
          <w:color w:val="auto"/>
          <w:sz w:val="32"/>
          <w:szCs w:val="32"/>
          <w:lang w:val="en-US" w:eastAsia="zh-CN"/>
        </w:rPr>
        <w:t>14.6</w:t>
      </w:r>
      <w:r>
        <w:rPr>
          <w:rFonts w:hint="eastAsia" w:ascii="仿宋_GB2312" w:hAnsi="ˎ̥" w:eastAsia="仿宋_GB2312"/>
          <w:color w:val="auto"/>
          <w:sz w:val="32"/>
          <w:szCs w:val="32"/>
        </w:rPr>
        <w:t>万元，完成年初预算的</w:t>
      </w:r>
      <w:r>
        <w:rPr>
          <w:rFonts w:hint="eastAsia" w:ascii="仿宋_GB2312" w:hAnsi="ˎ̥" w:eastAsia="仿宋_GB2312"/>
          <w:color w:val="auto"/>
          <w:sz w:val="32"/>
          <w:szCs w:val="32"/>
          <w:lang w:val="en-US" w:eastAsia="zh-CN"/>
        </w:rPr>
        <w:t>100</w:t>
      </w:r>
      <w:r>
        <w:rPr>
          <w:rFonts w:hint="eastAsia" w:ascii="仿宋_GB2312" w:hAnsi="ˎ̥" w:eastAsia="仿宋_GB2312"/>
          <w:color w:val="auto"/>
          <w:sz w:val="32"/>
          <w:szCs w:val="32"/>
        </w:rPr>
        <w:t>%。</w:t>
      </w:r>
    </w:p>
    <w:p w14:paraId="42194784">
      <w:pPr>
        <w:keepNext w:val="0"/>
        <w:keepLines w:val="0"/>
        <w:pageBreakBefore w:val="0"/>
        <w:widowControl w:val="0"/>
        <w:kinsoku/>
        <w:wordWrap/>
        <w:overflowPunct/>
        <w:topLinePunct w:val="0"/>
        <w:autoSpaceDE/>
        <w:autoSpaceDN/>
        <w:bidi w:val="0"/>
        <w:adjustRightInd/>
        <w:snapToGrid/>
        <w:spacing w:line="578" w:lineRule="exact"/>
        <w:ind w:firstLine="627" w:firstLineChars="196"/>
        <w:textAlignment w:val="auto"/>
        <w:rPr>
          <w:rFonts w:hint="eastAsia" w:ascii="黑体" w:hAnsi="黑体" w:eastAsia="黑体" w:cs="黑体"/>
          <w:color w:val="auto"/>
          <w:sz w:val="32"/>
          <w:szCs w:val="32"/>
        </w:rPr>
      </w:pPr>
      <w:r>
        <w:rPr>
          <w:rFonts w:hint="eastAsia" w:ascii="黑体" w:hAnsi="黑体" w:eastAsia="黑体" w:cs="黑体"/>
          <w:bCs/>
          <w:color w:val="auto"/>
          <w:sz w:val="32"/>
          <w:szCs w:val="32"/>
        </w:rPr>
        <w:t>六、一般公共预算财政拨款基本支出决算情况说明</w:t>
      </w:r>
    </w:p>
    <w:p w14:paraId="69C77E09">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default" w:ascii="仿宋_GB2312" w:hAnsi="ˎ̥" w:eastAsia="仿宋_GB2312"/>
          <w:color w:val="auto"/>
          <w:sz w:val="32"/>
          <w:szCs w:val="32"/>
          <w:lang w:val="en-US"/>
        </w:rPr>
        <w:t>2024</w:t>
      </w:r>
      <w:r>
        <w:rPr>
          <w:rFonts w:hint="eastAsia" w:ascii="仿宋_GB2312" w:hAnsi="ˎ̥" w:eastAsia="仿宋_GB2312"/>
          <w:color w:val="auto"/>
          <w:sz w:val="32"/>
          <w:szCs w:val="32"/>
        </w:rPr>
        <w:t>年度财政拨款基本支出</w:t>
      </w:r>
      <w:r>
        <w:rPr>
          <w:rFonts w:hint="eastAsia" w:ascii="仿宋_GB2312" w:hAnsi="ˎ̥" w:eastAsia="仿宋_GB2312"/>
          <w:color w:val="auto"/>
          <w:sz w:val="32"/>
          <w:szCs w:val="32"/>
          <w:lang w:val="en-US" w:eastAsia="zh-CN"/>
        </w:rPr>
        <w:t>223.6</w:t>
      </w:r>
      <w:r>
        <w:rPr>
          <w:rFonts w:hint="eastAsia" w:ascii="仿宋_GB2312" w:hAnsi="ˎ̥" w:eastAsia="仿宋_GB2312"/>
          <w:color w:val="auto"/>
          <w:sz w:val="32"/>
          <w:szCs w:val="32"/>
        </w:rPr>
        <w:t>万元，其中：人员经费</w:t>
      </w:r>
      <w:r>
        <w:rPr>
          <w:rFonts w:hint="eastAsia" w:ascii="仿宋_GB2312" w:hAnsi="ˎ̥" w:eastAsia="仿宋_GB2312"/>
          <w:color w:val="auto"/>
          <w:sz w:val="32"/>
          <w:szCs w:val="32"/>
          <w:lang w:val="en-US" w:eastAsia="zh-CN"/>
        </w:rPr>
        <w:t>189.47</w:t>
      </w:r>
      <w:r>
        <w:rPr>
          <w:rFonts w:hint="eastAsia" w:ascii="仿宋_GB2312" w:hAnsi="ˎ̥" w:eastAsia="仿宋_GB2312"/>
          <w:color w:val="auto"/>
          <w:sz w:val="32"/>
          <w:szCs w:val="32"/>
        </w:rPr>
        <w:t>万元，主要包括：工资福利支出中的基本工资、津贴补贴、绩效工资、机关事业单位基本养老保险缴费、职业年金缴费、职工基本医疗保险缴费、公务员医疗补助缴费、其他社会保障缴费、住房公积金、医疗费、其他工资福利支出</w:t>
      </w:r>
      <w:r>
        <w:rPr>
          <w:rFonts w:hint="eastAsia" w:ascii="仿宋_GB2312" w:hAnsi="ˎ̥" w:eastAsia="仿宋_GB2312"/>
          <w:color w:val="auto"/>
          <w:sz w:val="32"/>
          <w:szCs w:val="32"/>
          <w:lang w:eastAsia="zh-CN"/>
        </w:rPr>
        <w:t>；对个人和家庭补助的</w:t>
      </w:r>
      <w:r>
        <w:rPr>
          <w:rFonts w:hint="eastAsia" w:ascii="仿宋_GB2312" w:hAnsi="ˎ̥" w:eastAsia="仿宋_GB2312"/>
          <w:color w:val="auto"/>
          <w:sz w:val="32"/>
          <w:szCs w:val="32"/>
        </w:rPr>
        <w:t>生活补助。公用经费</w:t>
      </w:r>
      <w:r>
        <w:rPr>
          <w:rFonts w:hint="eastAsia" w:ascii="仿宋_GB2312" w:hAnsi="ˎ̥" w:eastAsia="仿宋_GB2312"/>
          <w:color w:val="auto"/>
          <w:sz w:val="32"/>
          <w:szCs w:val="32"/>
          <w:lang w:val="en-US" w:eastAsia="zh-CN"/>
        </w:rPr>
        <w:t>34.13</w:t>
      </w:r>
      <w:r>
        <w:rPr>
          <w:rFonts w:hint="eastAsia" w:ascii="仿宋_GB2312" w:hAnsi="ˎ̥" w:eastAsia="仿宋_GB2312"/>
          <w:color w:val="auto"/>
          <w:sz w:val="32"/>
          <w:szCs w:val="32"/>
        </w:rPr>
        <w:t>万元，主要包括：商品和服务支出中的办公费、印刷费、咨询费、手续费、邮电费、差旅费、专用材料费、委托业务费、工会经费、其他商品和服务支出；资本性支出中的办公设备购置</w:t>
      </w:r>
      <w:r>
        <w:rPr>
          <w:rFonts w:hint="eastAsia" w:ascii="仿宋_GB2312" w:hAnsi="ˎ̥" w:eastAsia="仿宋_GB2312"/>
          <w:color w:val="auto"/>
          <w:sz w:val="32"/>
          <w:szCs w:val="32"/>
          <w:lang w:eastAsia="zh-CN"/>
        </w:rPr>
        <w:t>。</w:t>
      </w:r>
    </w:p>
    <w:p w14:paraId="678A22E3">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27" w:firstLineChars="196"/>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七、政府性基金预算财政拨款支出决算情况说明</w:t>
      </w:r>
    </w:p>
    <w:p w14:paraId="48A4F8D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（一）政府性基金预算财政拨款支出决算总体情况</w:t>
      </w:r>
    </w:p>
    <w:p w14:paraId="5043EC7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无此项内容。</w:t>
      </w:r>
    </w:p>
    <w:p w14:paraId="1DB26AA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（二）政府性基金预算财政拨款支出决算结构情况</w:t>
      </w:r>
    </w:p>
    <w:p w14:paraId="6255169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无此项内容</w:t>
      </w:r>
      <w:r>
        <w:rPr>
          <w:rFonts w:hint="eastAsia" w:ascii="仿宋_GB2312" w:hAnsi="仿宋_GB2312" w:eastAsia="仿宋_GB2312" w:cs="仿宋_GB2312"/>
          <w:color w:val="auto"/>
          <w:sz w:val="32"/>
          <w:szCs w:val="32"/>
          <w:lang w:eastAsia="zh-CN"/>
        </w:rPr>
        <w:t>。</w:t>
      </w:r>
    </w:p>
    <w:p w14:paraId="5B16F0C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（三）政府性基金预算财政拨款支出决算具体情况</w:t>
      </w:r>
    </w:p>
    <w:p w14:paraId="7475262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无此项内容。</w:t>
      </w:r>
    </w:p>
    <w:p w14:paraId="63F37626">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27" w:firstLineChars="196"/>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八、国有资本经营预算财政拨款支出决算情况说明</w:t>
      </w:r>
    </w:p>
    <w:p w14:paraId="7F8AD0E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（一）国有资本经营预算财政拨款支出决算总体情况</w:t>
      </w:r>
    </w:p>
    <w:p w14:paraId="3568681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无此项内容。</w:t>
      </w:r>
    </w:p>
    <w:p w14:paraId="7802BA2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（二）国有资本经营预算财政拨款支出决算结构情况</w:t>
      </w:r>
    </w:p>
    <w:p w14:paraId="6A3BFD1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无此项内容。</w:t>
      </w:r>
    </w:p>
    <w:p w14:paraId="3C5081D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（三）国有资本经营预算财政拨款支出决算具体情况</w:t>
      </w:r>
    </w:p>
    <w:p w14:paraId="0EE6E8B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无此项内容。</w:t>
      </w:r>
    </w:p>
    <w:p w14:paraId="01EE2386">
      <w:pPr>
        <w:keepNext w:val="0"/>
        <w:keepLines w:val="0"/>
        <w:pageBreakBefore w:val="0"/>
        <w:widowControl w:val="0"/>
        <w:kinsoku/>
        <w:wordWrap/>
        <w:overflowPunct/>
        <w:topLinePunct w:val="0"/>
        <w:autoSpaceDE/>
        <w:autoSpaceDN/>
        <w:bidi w:val="0"/>
        <w:adjustRightInd/>
        <w:snapToGrid/>
        <w:spacing w:line="578" w:lineRule="exact"/>
        <w:ind w:firstLine="627" w:firstLineChars="196"/>
        <w:textAlignment w:val="auto"/>
        <w:rPr>
          <w:rFonts w:hint="eastAsia" w:ascii="仿宋_GB2312" w:hAnsi="ˎ̥" w:eastAsia="楷体_GB2312"/>
          <w:color w:val="auto"/>
          <w:sz w:val="32"/>
          <w:szCs w:val="32"/>
        </w:rPr>
      </w:pPr>
      <w:r>
        <w:rPr>
          <w:rFonts w:hint="eastAsia" w:ascii="黑体" w:hAnsi="黑体" w:eastAsia="黑体" w:cs="黑体"/>
          <w:bCs/>
          <w:color w:val="auto"/>
          <w:sz w:val="32"/>
          <w:szCs w:val="32"/>
        </w:rPr>
        <w:t>九、财政拨款“三公”经费支出决算情况说明</w:t>
      </w:r>
    </w:p>
    <w:p w14:paraId="13E6E63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color w:val="auto"/>
          <w:sz w:val="32"/>
          <w:szCs w:val="32"/>
        </w:rPr>
      </w:pPr>
      <w:r>
        <w:rPr>
          <w:rFonts w:hint="eastAsia" w:ascii="楷体" w:hAnsi="楷体" w:eastAsia="楷体" w:cs="楷体"/>
          <w:bCs/>
          <w:color w:val="auto"/>
          <w:sz w:val="32"/>
          <w:szCs w:val="32"/>
        </w:rPr>
        <w:t>（一）财政拨款“三公”经费支出决算总体情况说明</w:t>
      </w:r>
    </w:p>
    <w:p w14:paraId="7E24736A">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仿宋_GB2312" w:hAnsi="ˎ̥" w:eastAsia="仿宋_GB2312"/>
          <w:color w:val="auto"/>
          <w:sz w:val="32"/>
          <w:szCs w:val="32"/>
        </w:rPr>
      </w:pPr>
      <w:r>
        <w:rPr>
          <w:rFonts w:hint="eastAsia" w:ascii="仿宋_GB2312" w:hAnsi="ˎ̥" w:eastAsia="仿宋_GB2312"/>
          <w:color w:val="auto"/>
          <w:sz w:val="32"/>
          <w:szCs w:val="32"/>
        </w:rPr>
        <w:t xml:space="preserve">    </w:t>
      </w:r>
      <w:r>
        <w:rPr>
          <w:rFonts w:hint="eastAsia" w:ascii="仿宋_GB2312" w:hAnsi="仿宋_GB2312" w:eastAsia="仿宋_GB2312" w:cs="仿宋_GB2312"/>
          <w:color w:val="auto"/>
          <w:sz w:val="32"/>
          <w:szCs w:val="32"/>
          <w:lang w:val="en-US" w:eastAsia="zh-CN"/>
        </w:rPr>
        <w:t>无此项内容</w:t>
      </w:r>
      <w:r>
        <w:rPr>
          <w:rFonts w:hint="eastAsia" w:ascii="仿宋_GB2312" w:hAnsi="ˎ̥" w:eastAsia="仿宋_GB2312"/>
          <w:color w:val="auto"/>
          <w:sz w:val="32"/>
          <w:szCs w:val="32"/>
        </w:rPr>
        <w:t>。</w:t>
      </w:r>
    </w:p>
    <w:p w14:paraId="3A653240">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楷体" w:hAnsi="楷体" w:eastAsia="楷体" w:cs="楷体"/>
          <w:color w:val="auto"/>
          <w:sz w:val="32"/>
          <w:szCs w:val="32"/>
        </w:rPr>
      </w:pPr>
      <w:r>
        <w:rPr>
          <w:rFonts w:hint="eastAsia" w:ascii="楷体" w:hAnsi="楷体" w:eastAsia="楷体" w:cs="楷体"/>
          <w:b/>
          <w:bCs/>
          <w:color w:val="auto"/>
          <w:sz w:val="32"/>
          <w:szCs w:val="32"/>
        </w:rPr>
        <w:t xml:space="preserve">   </w:t>
      </w:r>
      <w:r>
        <w:rPr>
          <w:rFonts w:hint="eastAsia" w:ascii="楷体" w:hAnsi="楷体" w:eastAsia="楷体" w:cs="楷体"/>
          <w:color w:val="auto"/>
          <w:sz w:val="32"/>
          <w:szCs w:val="32"/>
        </w:rPr>
        <w:t xml:space="preserve"> （二）财政拨款“三公”经费支出决算具体情况说明</w:t>
      </w:r>
    </w:p>
    <w:p w14:paraId="5579832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_GB2312" w:hAnsi="仿宋_GB2312" w:eastAsia="仿宋_GB2312" w:cs="仿宋_GB2312"/>
          <w:color w:val="auto"/>
          <w:sz w:val="32"/>
          <w:szCs w:val="32"/>
          <w:lang w:val="en-US" w:eastAsia="zh-CN"/>
        </w:rPr>
        <w:t>无此项内容</w:t>
      </w:r>
      <w:r>
        <w:rPr>
          <w:rFonts w:hint="eastAsia" w:ascii="仿宋_GB2312" w:hAnsi="ˎ̥" w:eastAsia="仿宋_GB2312"/>
          <w:color w:val="auto"/>
          <w:sz w:val="32"/>
          <w:szCs w:val="32"/>
        </w:rPr>
        <w:t>。</w:t>
      </w:r>
    </w:p>
    <w:p w14:paraId="099107B1">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_GB2312" w:hAnsi="ˎ̥" w:eastAsia="仿宋_GB2312"/>
          <w:color w:val="auto"/>
          <w:sz w:val="32"/>
          <w:szCs w:val="32"/>
        </w:rPr>
      </w:pPr>
      <w:r>
        <w:rPr>
          <w:rFonts w:hint="eastAsia" w:ascii="仿宋_GB2312" w:hAnsi="ˎ̥" w:eastAsia="仿宋_GB2312"/>
          <w:b/>
          <w:color w:val="auto"/>
          <w:sz w:val="32"/>
          <w:szCs w:val="32"/>
        </w:rPr>
        <w:t>1.因公出国（境）费</w:t>
      </w:r>
      <w:r>
        <w:rPr>
          <w:rFonts w:hint="eastAsia" w:ascii="仿宋_GB2312" w:hAnsi="ˎ̥" w:eastAsia="仿宋_GB2312"/>
          <w:color w:val="auto"/>
          <w:sz w:val="32"/>
          <w:szCs w:val="32"/>
        </w:rPr>
        <w:t>支出</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万元。全年安排因公出国（境）团组</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个，因公出国</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人次。</w:t>
      </w:r>
    </w:p>
    <w:p w14:paraId="271853AB">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仿宋_GB2312" w:hAnsi="ˎ̥" w:eastAsia="仿宋_GB2312"/>
          <w:color w:val="auto"/>
          <w:sz w:val="32"/>
          <w:szCs w:val="32"/>
        </w:rPr>
      </w:pPr>
      <w:r>
        <w:rPr>
          <w:rFonts w:hint="eastAsia" w:ascii="仿宋_GB2312" w:hAnsi="ˎ̥" w:eastAsia="仿宋_GB2312"/>
          <w:b/>
          <w:color w:val="auto"/>
          <w:sz w:val="32"/>
          <w:szCs w:val="32"/>
        </w:rPr>
        <w:t xml:space="preserve">    2.公务用车购置及运行维护费</w:t>
      </w:r>
      <w:r>
        <w:rPr>
          <w:rFonts w:hint="eastAsia" w:ascii="仿宋_GB2312" w:hAnsi="ˎ̥" w:eastAsia="仿宋_GB2312"/>
          <w:b w:val="0"/>
          <w:bCs/>
          <w:color w:val="auto"/>
          <w:sz w:val="32"/>
          <w:szCs w:val="32"/>
        </w:rPr>
        <w:t>支出</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万元。其中：</w:t>
      </w:r>
    </w:p>
    <w:p w14:paraId="44ECC2FA">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_GB2312" w:hAnsi="ˎ̥" w:eastAsia="仿宋_GB2312"/>
          <w:color w:val="auto"/>
          <w:sz w:val="32"/>
          <w:szCs w:val="32"/>
        </w:rPr>
      </w:pPr>
      <w:r>
        <w:rPr>
          <w:rFonts w:hint="eastAsia" w:ascii="仿宋_GB2312" w:hAnsi="ˎ̥" w:eastAsia="仿宋_GB2312"/>
          <w:b/>
          <w:color w:val="auto"/>
          <w:sz w:val="32"/>
          <w:szCs w:val="32"/>
        </w:rPr>
        <w:t>公务用车购置</w:t>
      </w:r>
      <w:r>
        <w:rPr>
          <w:rFonts w:hint="eastAsia" w:ascii="仿宋_GB2312" w:hAnsi="ˎ̥" w:eastAsia="仿宋_GB2312"/>
          <w:b w:val="0"/>
          <w:bCs/>
          <w:color w:val="auto"/>
          <w:sz w:val="32"/>
          <w:szCs w:val="32"/>
        </w:rPr>
        <w:t>支出</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万元，年末公务用车保有量</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辆。</w:t>
      </w:r>
    </w:p>
    <w:p w14:paraId="24AC37DF">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_GB2312" w:hAnsi="ˎ̥" w:eastAsia="仿宋_GB2312"/>
          <w:bCs/>
          <w:color w:val="auto"/>
          <w:sz w:val="32"/>
          <w:szCs w:val="32"/>
        </w:rPr>
      </w:pPr>
      <w:r>
        <w:rPr>
          <w:rFonts w:hint="eastAsia" w:ascii="仿宋_GB2312" w:hAnsi="ˎ̥" w:eastAsia="仿宋_GB2312"/>
          <w:b/>
          <w:color w:val="auto"/>
          <w:sz w:val="32"/>
          <w:szCs w:val="32"/>
        </w:rPr>
        <w:t>公务用车运行维护费</w:t>
      </w:r>
      <w:r>
        <w:rPr>
          <w:rFonts w:hint="eastAsia" w:ascii="仿宋_GB2312" w:hAnsi="ˎ̥" w:eastAsia="仿宋_GB2312"/>
          <w:color w:val="auto"/>
          <w:sz w:val="32"/>
          <w:szCs w:val="32"/>
        </w:rPr>
        <w:t>支出</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万元。</w:t>
      </w:r>
    </w:p>
    <w:p w14:paraId="37FB980F">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_GB2312" w:hAnsi="ˎ̥" w:eastAsia="仿宋_GB2312"/>
          <w:color w:val="auto"/>
          <w:sz w:val="32"/>
          <w:szCs w:val="32"/>
        </w:rPr>
      </w:pPr>
      <w:r>
        <w:rPr>
          <w:rFonts w:hint="eastAsia" w:ascii="仿宋_GB2312" w:hAnsi="ˎ̥" w:eastAsia="仿宋_GB2312"/>
          <w:b/>
          <w:color w:val="auto"/>
          <w:sz w:val="32"/>
          <w:szCs w:val="32"/>
        </w:rPr>
        <w:t xml:space="preserve"> 3.公务接待费</w:t>
      </w:r>
      <w:r>
        <w:rPr>
          <w:rFonts w:hint="eastAsia" w:ascii="仿宋_GB2312" w:hAnsi="ˎ̥" w:eastAsia="仿宋_GB2312"/>
          <w:b w:val="0"/>
          <w:bCs/>
          <w:color w:val="auto"/>
          <w:sz w:val="32"/>
          <w:szCs w:val="32"/>
        </w:rPr>
        <w:t>支出</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万元</w:t>
      </w:r>
    </w:p>
    <w:p w14:paraId="150FA9C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十、预算绩效情况说明</w:t>
      </w:r>
    </w:p>
    <w:p w14:paraId="481D44F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color w:val="auto"/>
          <w:sz w:val="32"/>
          <w:szCs w:val="32"/>
          <w:highlight w:val="none"/>
        </w:rPr>
      </w:pPr>
      <w:r>
        <w:rPr>
          <w:rFonts w:hint="eastAsia" w:ascii="楷体" w:hAnsi="楷体" w:eastAsia="楷体" w:cs="楷体"/>
          <w:bCs/>
          <w:color w:val="auto"/>
          <w:sz w:val="32"/>
          <w:szCs w:val="32"/>
          <w:highlight w:val="none"/>
        </w:rPr>
        <w:t>（一）绩效管理工作开展情况</w:t>
      </w:r>
    </w:p>
    <w:p w14:paraId="5C87F05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rPr>
        <w:t>根据财政预算绩效管理要求，我</w:t>
      </w:r>
      <w:r>
        <w:rPr>
          <w:rFonts w:hint="eastAsia" w:ascii="仿宋_GB2312" w:eastAsia="仿宋_GB2312"/>
          <w:color w:val="auto"/>
          <w:sz w:val="32"/>
          <w:szCs w:val="32"/>
          <w:highlight w:val="none"/>
          <w:lang w:eastAsia="zh-CN"/>
        </w:rPr>
        <w:t>部门（单位）</w:t>
      </w:r>
      <w:r>
        <w:rPr>
          <w:rFonts w:hint="eastAsia" w:ascii="仿宋_GB2312" w:eastAsia="仿宋_GB2312"/>
          <w:color w:val="auto"/>
          <w:sz w:val="32"/>
          <w:szCs w:val="32"/>
          <w:highlight w:val="none"/>
        </w:rPr>
        <w:t>组织对</w:t>
      </w:r>
      <w:r>
        <w:rPr>
          <w:rFonts w:hint="default" w:ascii="仿宋_GB2312" w:eastAsia="仿宋_GB2312"/>
          <w:color w:val="auto"/>
          <w:sz w:val="32"/>
          <w:szCs w:val="32"/>
          <w:highlight w:val="none"/>
          <w:lang w:val="en-US"/>
        </w:rPr>
        <w:t>2024</w:t>
      </w:r>
      <w:r>
        <w:rPr>
          <w:rFonts w:hint="eastAsia" w:ascii="仿宋_GB2312" w:eastAsia="仿宋_GB2312"/>
          <w:color w:val="auto"/>
          <w:sz w:val="32"/>
          <w:szCs w:val="32"/>
          <w:highlight w:val="none"/>
        </w:rPr>
        <w:t>年度一般公共预算项目支出全面开展绩效自评</w:t>
      </w:r>
      <w:r>
        <w:rPr>
          <w:rFonts w:hint="default" w:ascii="仿宋_GB2312" w:eastAsia="仿宋_GB2312"/>
          <w:color w:val="auto"/>
          <w:sz w:val="32"/>
          <w:szCs w:val="32"/>
          <w:highlight w:val="none"/>
          <w:lang w:val="en-US"/>
        </w:rPr>
        <w:t>,</w:t>
      </w:r>
      <w:r>
        <w:rPr>
          <w:rFonts w:hint="eastAsia" w:ascii="仿宋_GB2312" w:eastAsia="仿宋_GB2312"/>
          <w:color w:val="auto"/>
          <w:sz w:val="32"/>
          <w:szCs w:val="32"/>
          <w:highlight w:val="none"/>
          <w:lang w:val="en-US" w:eastAsia="zh-CN"/>
        </w:rPr>
        <w:t>自评项目7个，共涉及资金1858.16万元，占一般公共预算项目支出总额的89.26%。</w:t>
      </w:r>
    </w:p>
    <w:p w14:paraId="485E7EF7">
      <w:pPr>
        <w:spacing w:before="5" w:line="333" w:lineRule="auto"/>
        <w:ind w:left="7" w:firstLine="651"/>
        <w:rPr>
          <w:rFonts w:hint="eastAsia" w:ascii="仿宋_GB2312" w:hAnsi="仿宋_GB2312" w:eastAsia="仿宋_GB2312" w:cs="仿宋_GB2312"/>
          <w:color w:val="auto"/>
          <w:sz w:val="32"/>
          <w:szCs w:val="32"/>
          <w:highlight w:val="none"/>
          <w:lang w:val="en-US" w:eastAsia="zh-CN"/>
        </w:rPr>
      </w:pPr>
      <w:r>
        <w:rPr>
          <w:rFonts w:hint="eastAsia" w:ascii="仿宋_GB2312" w:eastAsia="仿宋_GB2312"/>
          <w:color w:val="auto"/>
          <w:sz w:val="32"/>
          <w:szCs w:val="32"/>
          <w:highlight w:val="none"/>
        </w:rPr>
        <w:t>共组织对“</w:t>
      </w:r>
      <w:r>
        <w:rPr>
          <w:rFonts w:hint="eastAsia" w:ascii="仿宋_GB2312" w:eastAsia="仿宋_GB2312"/>
          <w:color w:val="auto"/>
          <w:sz w:val="32"/>
          <w:szCs w:val="32"/>
          <w:highlight w:val="none"/>
          <w:lang w:eastAsia="zh-CN"/>
        </w:rPr>
        <w:t>森林资源管护</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个项目开展了部门评价，</w:t>
      </w:r>
      <w:r>
        <w:rPr>
          <w:rFonts w:hint="eastAsia" w:ascii="仿宋_GB2312" w:eastAsia="仿宋_GB2312"/>
          <w:color w:val="auto"/>
          <w:sz w:val="32"/>
          <w:szCs w:val="32"/>
          <w:highlight w:val="none"/>
          <w:lang w:bidi="ar"/>
        </w:rPr>
        <w:t>涉及一般公共预算支出</w:t>
      </w:r>
      <w:r>
        <w:rPr>
          <w:rFonts w:hint="eastAsia" w:ascii="仿宋_GB2312" w:hAnsi="ˎ̥" w:eastAsia="仿宋_GB2312"/>
          <w:color w:val="auto"/>
          <w:sz w:val="32"/>
          <w:szCs w:val="32"/>
          <w:highlight w:val="none"/>
          <w:lang w:val="en-US" w:eastAsia="zh-CN"/>
        </w:rPr>
        <w:t>905.82万元</w:t>
      </w:r>
      <w:r>
        <w:rPr>
          <w:rFonts w:hint="eastAsia" w:ascii="仿宋_GB2312" w:eastAsia="仿宋_GB2312"/>
          <w:color w:val="auto"/>
          <w:sz w:val="32"/>
          <w:szCs w:val="32"/>
          <w:highlight w:val="none"/>
          <w:lang w:bidi="ar"/>
        </w:rPr>
        <w:t>。</w:t>
      </w:r>
      <w:r>
        <w:rPr>
          <w:rFonts w:hint="eastAsia" w:ascii="仿宋_GB2312" w:eastAsia="仿宋_GB2312"/>
          <w:color w:val="auto"/>
          <w:sz w:val="32"/>
          <w:szCs w:val="32"/>
          <w:highlight w:val="none"/>
        </w:rPr>
        <w:t>从评价情况来看，</w:t>
      </w:r>
      <w:r>
        <w:rPr>
          <w:rFonts w:hint="eastAsia" w:ascii="仿宋_GB2312" w:eastAsia="仿宋_GB2312"/>
          <w:color w:val="auto"/>
          <w:sz w:val="32"/>
          <w:szCs w:val="32"/>
          <w:highlight w:val="none"/>
          <w:lang w:eastAsia="zh-CN"/>
        </w:rPr>
        <w:t>项目立项依据充分，程序规范，绩效目标设置合理明确，预算编制科学，资金使用合规，项目完成及时，质量较高，有效</w:t>
      </w:r>
      <w:r>
        <w:rPr>
          <w:rFonts w:hint="eastAsia" w:ascii="仿宋" w:hAnsi="仿宋" w:eastAsia="仿宋" w:cs="仿宋"/>
          <w:spacing w:val="-1"/>
          <w:sz w:val="32"/>
          <w:szCs w:val="32"/>
          <w:highlight w:val="none"/>
        </w:rPr>
        <w:t>加强森林资源管护、野生动物保护和森林防火工作，加强有害生物监控和防治力度，提高森林生态功能目标，提升林地和森林蓄积质量，维护林区生态系统多样性和生物物种多样性，打造海南自由贸易</w:t>
      </w:r>
      <w:r>
        <w:rPr>
          <w:rFonts w:hint="eastAsia" w:ascii="仿宋" w:hAnsi="仿宋" w:eastAsia="仿宋" w:cs="仿宋"/>
          <w:sz w:val="32"/>
          <w:szCs w:val="32"/>
          <w:highlight w:val="none"/>
        </w:rPr>
        <w:t>港良好的生态环境，推进海南热带雨林国家森林公园体系建设。</w:t>
      </w:r>
    </w:p>
    <w:p w14:paraId="3401A5DF">
      <w:pPr>
        <w:keepNext w:val="0"/>
        <w:keepLines w:val="0"/>
        <w:pageBreakBefore w:val="0"/>
        <w:widowControl w:val="0"/>
        <w:numPr>
          <w:ilvl w:val="0"/>
          <w:numId w:val="3"/>
        </w:numPr>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color w:val="auto"/>
          <w:sz w:val="32"/>
          <w:szCs w:val="32"/>
          <w:highlight w:val="none"/>
        </w:rPr>
      </w:pPr>
      <w:r>
        <w:rPr>
          <w:rFonts w:hint="eastAsia" w:ascii="楷体" w:hAnsi="楷体" w:eastAsia="楷体" w:cs="楷体"/>
          <w:bCs/>
          <w:color w:val="auto"/>
          <w:sz w:val="32"/>
          <w:szCs w:val="32"/>
          <w:highlight w:val="none"/>
        </w:rPr>
        <w:t>部门决算中项目绩效自评结果</w:t>
      </w:r>
    </w:p>
    <w:p w14:paraId="7CBCFC2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eastAsia="zh-CN"/>
        </w:rPr>
        <w:t>无此项内容。</w:t>
      </w:r>
    </w:p>
    <w:p w14:paraId="6C846530">
      <w:pPr>
        <w:keepNext w:val="0"/>
        <w:keepLines w:val="0"/>
        <w:pageBreakBefore w:val="0"/>
        <w:widowControl w:val="0"/>
        <w:numPr>
          <w:ilvl w:val="0"/>
          <w:numId w:val="3"/>
        </w:numPr>
        <w:kinsoku/>
        <w:wordWrap/>
        <w:overflowPunct/>
        <w:topLinePunct w:val="0"/>
        <w:autoSpaceDE/>
        <w:autoSpaceDN/>
        <w:bidi w:val="0"/>
        <w:adjustRightInd/>
        <w:snapToGrid/>
        <w:spacing w:line="578" w:lineRule="exact"/>
        <w:ind w:left="0" w:leftChars="0" w:firstLine="640" w:firstLineChars="200"/>
        <w:textAlignment w:val="auto"/>
        <w:rPr>
          <w:rFonts w:hint="eastAsia" w:ascii="楷体" w:hAnsi="楷体" w:eastAsia="楷体" w:cs="楷体"/>
          <w:bCs/>
          <w:color w:val="auto"/>
          <w:sz w:val="32"/>
          <w:szCs w:val="32"/>
          <w:highlight w:val="none"/>
        </w:rPr>
      </w:pPr>
      <w:r>
        <w:rPr>
          <w:rFonts w:hint="eastAsia" w:ascii="楷体" w:hAnsi="楷体" w:eastAsia="楷体" w:cs="楷体"/>
          <w:bCs/>
          <w:color w:val="auto"/>
          <w:sz w:val="32"/>
          <w:szCs w:val="32"/>
          <w:highlight w:val="none"/>
        </w:rPr>
        <w:t>部门评价结果</w:t>
      </w:r>
    </w:p>
    <w:p w14:paraId="46E01164">
      <w:pPr>
        <w:spacing w:before="5" w:line="333" w:lineRule="auto"/>
        <w:ind w:left="7" w:firstLine="651"/>
        <w:rPr>
          <w:rFonts w:hint="eastAsia" w:ascii="仿宋_GB2312" w:hAnsi="仿宋_GB2312" w:eastAsia="仿宋_GB2312" w:cs="仿宋_GB2312"/>
          <w:color w:val="auto"/>
          <w:sz w:val="32"/>
          <w:szCs w:val="32"/>
          <w:highlight w:val="none"/>
          <w:lang w:val="en-US" w:eastAsia="zh-CN"/>
        </w:rPr>
      </w:pPr>
      <w:r>
        <w:rPr>
          <w:rFonts w:hint="eastAsia" w:ascii="仿宋_GB2312" w:eastAsia="仿宋_GB2312"/>
          <w:color w:val="auto"/>
          <w:sz w:val="32"/>
          <w:szCs w:val="32"/>
          <w:highlight w:val="none"/>
        </w:rPr>
        <w:t>共组织对“</w:t>
      </w:r>
      <w:r>
        <w:rPr>
          <w:rFonts w:hint="eastAsia" w:ascii="仿宋_GB2312" w:eastAsia="仿宋_GB2312"/>
          <w:color w:val="auto"/>
          <w:sz w:val="32"/>
          <w:szCs w:val="32"/>
          <w:highlight w:val="none"/>
          <w:lang w:eastAsia="zh-CN"/>
        </w:rPr>
        <w:t>森林资源管护</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个项目开展了部门评价，</w:t>
      </w:r>
      <w:r>
        <w:rPr>
          <w:rFonts w:hint="eastAsia" w:ascii="仿宋_GB2312" w:eastAsia="仿宋_GB2312"/>
          <w:color w:val="auto"/>
          <w:sz w:val="32"/>
          <w:szCs w:val="32"/>
          <w:highlight w:val="none"/>
          <w:lang w:bidi="ar"/>
        </w:rPr>
        <w:t>涉及一般公共预算支出</w:t>
      </w:r>
      <w:r>
        <w:rPr>
          <w:rFonts w:hint="eastAsia" w:ascii="仿宋_GB2312" w:hAnsi="ˎ̥" w:eastAsia="仿宋_GB2312"/>
          <w:color w:val="auto"/>
          <w:sz w:val="32"/>
          <w:szCs w:val="32"/>
          <w:highlight w:val="none"/>
          <w:lang w:val="en-US" w:eastAsia="zh-CN"/>
        </w:rPr>
        <w:t>905.82万元</w:t>
      </w:r>
      <w:r>
        <w:rPr>
          <w:rFonts w:hint="eastAsia" w:ascii="仿宋_GB2312" w:eastAsia="仿宋_GB2312"/>
          <w:color w:val="auto"/>
          <w:sz w:val="32"/>
          <w:szCs w:val="32"/>
          <w:highlight w:val="none"/>
          <w:lang w:bidi="ar"/>
        </w:rPr>
        <w:t>。</w:t>
      </w:r>
      <w:r>
        <w:rPr>
          <w:rFonts w:hint="eastAsia" w:ascii="仿宋_GB2312" w:eastAsia="仿宋_GB2312"/>
          <w:color w:val="auto"/>
          <w:sz w:val="32"/>
          <w:szCs w:val="32"/>
          <w:highlight w:val="none"/>
        </w:rPr>
        <w:t>从评价情况来看，</w:t>
      </w:r>
      <w:r>
        <w:rPr>
          <w:rFonts w:hint="eastAsia" w:ascii="仿宋_GB2312" w:eastAsia="仿宋_GB2312"/>
          <w:color w:val="auto"/>
          <w:sz w:val="32"/>
          <w:szCs w:val="32"/>
          <w:highlight w:val="none"/>
          <w:lang w:eastAsia="zh-CN"/>
        </w:rPr>
        <w:t>项目立项依据充分，程序规范，绩效目标设置合理明确，预算编制科学，资金使用合规，项目完成及时，质量较高，有效</w:t>
      </w:r>
      <w:r>
        <w:rPr>
          <w:rFonts w:hint="eastAsia" w:ascii="仿宋" w:hAnsi="仿宋" w:eastAsia="仿宋" w:cs="仿宋"/>
          <w:spacing w:val="-1"/>
          <w:sz w:val="32"/>
          <w:szCs w:val="32"/>
          <w:highlight w:val="none"/>
        </w:rPr>
        <w:t>加强森林资源管护、野生动物保护和森林防火工作，加强有害生物监控和防治力度，提高森林生态功能目标，提升林地和森林蓄积质量，维护林区生态系统多样性和生物物种多样性，打造海南自由贸易</w:t>
      </w:r>
      <w:r>
        <w:rPr>
          <w:rFonts w:hint="eastAsia" w:ascii="仿宋" w:hAnsi="仿宋" w:eastAsia="仿宋" w:cs="仿宋"/>
          <w:sz w:val="32"/>
          <w:szCs w:val="32"/>
          <w:highlight w:val="none"/>
        </w:rPr>
        <w:t>港良好的生态环境，推进海南热带雨林国家森林公园体系建设。</w:t>
      </w:r>
    </w:p>
    <w:p w14:paraId="65FBE26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color w:val="auto"/>
          <w:sz w:val="32"/>
          <w:szCs w:val="32"/>
          <w:highlight w:val="none"/>
        </w:rPr>
      </w:pPr>
      <w:r>
        <w:rPr>
          <w:rFonts w:hint="eastAsia" w:ascii="楷体" w:hAnsi="楷体" w:eastAsia="楷体" w:cs="楷体"/>
          <w:bCs/>
          <w:color w:val="auto"/>
          <w:sz w:val="32"/>
          <w:szCs w:val="32"/>
          <w:highlight w:val="none"/>
        </w:rPr>
        <w:t>（四）财政评价结果</w:t>
      </w:r>
    </w:p>
    <w:p w14:paraId="0A11666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eastAsia="zh-CN"/>
        </w:rPr>
        <w:t>无此项内容。</w:t>
      </w:r>
    </w:p>
    <w:p w14:paraId="637F715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十一、其他重要事项情况说明</w:t>
      </w:r>
    </w:p>
    <w:p w14:paraId="7DDA2BB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color w:val="auto"/>
          <w:sz w:val="32"/>
          <w:szCs w:val="32"/>
        </w:rPr>
      </w:pPr>
      <w:bookmarkStart w:id="96" w:name="_Toc5978_WPSOffice_Level2"/>
      <w:bookmarkStart w:id="97" w:name="_Toc15565_WPSOffice_Level2"/>
      <w:bookmarkStart w:id="98" w:name="_Toc15262_WPSOffice_Level2"/>
      <w:bookmarkStart w:id="99" w:name="_Toc32639_WPSOffice_Level2"/>
      <w:bookmarkStart w:id="100" w:name="_Toc23598_WPSOffice_Level2"/>
      <w:bookmarkStart w:id="101" w:name="_Toc18325_WPSOffice_Level2"/>
      <w:r>
        <w:rPr>
          <w:rFonts w:hint="eastAsia" w:ascii="楷体" w:hAnsi="楷体" w:eastAsia="楷体" w:cs="楷体"/>
          <w:bCs/>
          <w:color w:val="auto"/>
          <w:sz w:val="32"/>
          <w:szCs w:val="32"/>
        </w:rPr>
        <w:t>（一）机关运行经费支出情况</w:t>
      </w:r>
      <w:bookmarkEnd w:id="96"/>
      <w:bookmarkEnd w:id="97"/>
      <w:bookmarkEnd w:id="98"/>
      <w:bookmarkEnd w:id="99"/>
      <w:bookmarkEnd w:id="100"/>
      <w:bookmarkEnd w:id="101"/>
    </w:p>
    <w:p w14:paraId="1CDDEF2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default" w:ascii="仿宋_GB2312" w:hAnsi="ˎ̥" w:eastAsia="仿宋_GB2312"/>
          <w:color w:val="auto"/>
          <w:sz w:val="32"/>
          <w:szCs w:val="32"/>
          <w:lang w:val="en-US"/>
        </w:rPr>
        <w:t>2024</w:t>
      </w:r>
      <w:r>
        <w:rPr>
          <w:rFonts w:hint="eastAsia" w:ascii="仿宋_GB2312" w:hAnsi="ˎ̥" w:eastAsia="仿宋_GB2312"/>
          <w:color w:val="auto"/>
          <w:sz w:val="32"/>
          <w:szCs w:val="32"/>
        </w:rPr>
        <w:t>年度</w:t>
      </w:r>
      <w:r>
        <w:rPr>
          <w:rFonts w:hint="eastAsia" w:ascii="仿宋_GB2312" w:hAnsi="ˎ̥" w:eastAsia="仿宋_GB2312"/>
          <w:color w:val="auto"/>
          <w:sz w:val="32"/>
          <w:szCs w:val="32"/>
          <w:lang w:val="en-US" w:eastAsia="zh-CN"/>
        </w:rPr>
        <w:t>海南热带雨林国家公园管理局毛瑞分局</w:t>
      </w:r>
      <w:r>
        <w:rPr>
          <w:rFonts w:hint="eastAsia" w:ascii="仿宋_GB2312" w:hAnsi="ˎ̥" w:eastAsia="仿宋_GB2312"/>
          <w:color w:val="auto"/>
          <w:sz w:val="32"/>
          <w:szCs w:val="32"/>
        </w:rPr>
        <w:t>部门机关运行经费</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万元。</w:t>
      </w:r>
    </w:p>
    <w:p w14:paraId="2C27CB6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color w:val="auto"/>
          <w:sz w:val="32"/>
          <w:szCs w:val="32"/>
        </w:rPr>
      </w:pPr>
      <w:bookmarkStart w:id="102" w:name="_Toc13084_WPSOffice_Level2"/>
      <w:bookmarkStart w:id="103" w:name="_Toc25333_WPSOffice_Level2"/>
      <w:bookmarkStart w:id="104" w:name="_Toc23966_WPSOffice_Level2"/>
      <w:bookmarkStart w:id="105" w:name="_Toc32689_WPSOffice_Level2"/>
      <w:bookmarkStart w:id="106" w:name="_Toc30383_WPSOffice_Level2"/>
      <w:bookmarkStart w:id="107" w:name="_Toc3131_WPSOffice_Level2"/>
      <w:r>
        <w:rPr>
          <w:rFonts w:hint="eastAsia" w:ascii="楷体" w:hAnsi="楷体" w:eastAsia="楷体" w:cs="楷体"/>
          <w:bCs/>
          <w:color w:val="auto"/>
          <w:sz w:val="32"/>
          <w:szCs w:val="32"/>
        </w:rPr>
        <w:t>（二）政府采购支出情况</w:t>
      </w:r>
      <w:bookmarkEnd w:id="102"/>
      <w:bookmarkEnd w:id="103"/>
      <w:bookmarkEnd w:id="104"/>
      <w:bookmarkEnd w:id="105"/>
      <w:bookmarkEnd w:id="106"/>
      <w:bookmarkEnd w:id="107"/>
    </w:p>
    <w:p w14:paraId="5018D48A">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仿宋_GB2312" w:hAnsi="ˎ̥" w:eastAsia="仿宋_GB2312"/>
          <w:color w:val="auto"/>
          <w:sz w:val="32"/>
          <w:szCs w:val="32"/>
        </w:rPr>
      </w:pPr>
      <w:r>
        <w:rPr>
          <w:rFonts w:hint="default" w:ascii="仿宋_GB2312" w:hAnsi="ˎ̥" w:eastAsia="仿宋_GB2312"/>
          <w:color w:val="auto"/>
          <w:sz w:val="32"/>
          <w:szCs w:val="32"/>
          <w:lang w:val="en-US"/>
        </w:rPr>
        <w:t>2024</w:t>
      </w:r>
      <w:r>
        <w:rPr>
          <w:rFonts w:hint="eastAsia" w:ascii="仿宋_GB2312" w:hAnsi="ˎ̥" w:eastAsia="仿宋_GB2312"/>
          <w:color w:val="auto"/>
          <w:sz w:val="32"/>
          <w:szCs w:val="32"/>
        </w:rPr>
        <w:t>年度</w:t>
      </w:r>
      <w:r>
        <w:rPr>
          <w:rFonts w:hint="eastAsia" w:ascii="仿宋_GB2312" w:hAnsi="ˎ̥" w:eastAsia="仿宋_GB2312"/>
          <w:color w:val="auto"/>
          <w:sz w:val="32"/>
          <w:szCs w:val="32"/>
          <w:lang w:val="en-US" w:eastAsia="zh-CN"/>
        </w:rPr>
        <w:t>海南热带雨林国家公园管理局毛瑞分局</w:t>
      </w:r>
      <w:r>
        <w:rPr>
          <w:rFonts w:hint="eastAsia" w:ascii="仿宋_GB2312" w:hAnsi="ˎ̥" w:eastAsia="仿宋_GB2312"/>
          <w:color w:val="auto"/>
          <w:sz w:val="32"/>
          <w:szCs w:val="32"/>
        </w:rPr>
        <w:t>政府采购支出总额</w:t>
      </w:r>
      <w:r>
        <w:rPr>
          <w:rFonts w:hint="eastAsia" w:ascii="仿宋_GB2312" w:hAnsi="ˎ̥" w:eastAsia="仿宋_GB2312"/>
          <w:color w:val="auto"/>
          <w:sz w:val="32"/>
          <w:szCs w:val="32"/>
          <w:lang w:val="en-US" w:eastAsia="zh-CN"/>
        </w:rPr>
        <w:t>214.25</w:t>
      </w:r>
      <w:r>
        <w:rPr>
          <w:rFonts w:hint="eastAsia" w:ascii="仿宋_GB2312" w:hAnsi="ˎ̥" w:eastAsia="仿宋_GB2312"/>
          <w:color w:val="auto"/>
          <w:sz w:val="32"/>
          <w:szCs w:val="32"/>
          <w:lang w:eastAsia="zh-CN"/>
        </w:rPr>
        <w:t>万元</w:t>
      </w:r>
      <w:r>
        <w:rPr>
          <w:rFonts w:hint="eastAsia" w:ascii="仿宋_GB2312" w:hAnsi="ˎ̥" w:eastAsia="仿宋_GB2312"/>
          <w:color w:val="auto"/>
          <w:sz w:val="32"/>
          <w:szCs w:val="32"/>
        </w:rPr>
        <w:t>，其中：政府采购工程支出</w:t>
      </w:r>
      <w:r>
        <w:rPr>
          <w:rFonts w:hint="eastAsia" w:ascii="仿宋_GB2312" w:hAnsi="ˎ̥" w:eastAsia="仿宋_GB2312"/>
          <w:color w:val="auto"/>
          <w:sz w:val="32"/>
          <w:szCs w:val="32"/>
          <w:lang w:val="en-US" w:eastAsia="zh-CN"/>
        </w:rPr>
        <w:t>214.25</w:t>
      </w:r>
      <w:r>
        <w:rPr>
          <w:rFonts w:hint="eastAsia" w:ascii="仿宋_GB2312" w:hAnsi="ˎ̥" w:eastAsia="仿宋_GB2312"/>
          <w:color w:val="auto"/>
          <w:sz w:val="32"/>
          <w:szCs w:val="32"/>
        </w:rPr>
        <w:t>万元。授予中小企业合同金额</w:t>
      </w:r>
      <w:r>
        <w:rPr>
          <w:rFonts w:hint="eastAsia" w:ascii="仿宋_GB2312" w:hAnsi="ˎ̥" w:eastAsia="仿宋_GB2312"/>
          <w:color w:val="auto"/>
          <w:sz w:val="32"/>
          <w:szCs w:val="32"/>
          <w:lang w:val="en-US" w:eastAsia="zh-CN"/>
        </w:rPr>
        <w:t>214.25</w:t>
      </w:r>
      <w:r>
        <w:rPr>
          <w:rFonts w:hint="eastAsia" w:ascii="仿宋_GB2312" w:hAnsi="ˎ̥" w:eastAsia="仿宋_GB2312"/>
          <w:color w:val="auto"/>
          <w:sz w:val="32"/>
          <w:szCs w:val="32"/>
        </w:rPr>
        <w:t>万元，占政府采购支出总额的</w:t>
      </w:r>
      <w:r>
        <w:rPr>
          <w:rFonts w:hint="eastAsia" w:ascii="仿宋_GB2312" w:hAnsi="ˎ̥" w:eastAsia="仿宋_GB2312"/>
          <w:color w:val="auto"/>
          <w:sz w:val="32"/>
          <w:szCs w:val="32"/>
          <w:lang w:val="en-US" w:eastAsia="zh-CN"/>
        </w:rPr>
        <w:t>100</w:t>
      </w:r>
      <w:r>
        <w:rPr>
          <w:rFonts w:hint="eastAsia" w:ascii="仿宋_GB2312" w:hAnsi="ˎ̥" w:eastAsia="仿宋_GB2312"/>
          <w:color w:val="auto"/>
          <w:sz w:val="32"/>
          <w:szCs w:val="32"/>
        </w:rPr>
        <w:t>%，其中：授予小微企业合同金额</w:t>
      </w:r>
      <w:r>
        <w:rPr>
          <w:rFonts w:hint="eastAsia" w:ascii="仿宋_GB2312" w:hAnsi="ˎ̥" w:eastAsia="仿宋_GB2312"/>
          <w:color w:val="auto"/>
          <w:sz w:val="32"/>
          <w:szCs w:val="32"/>
          <w:lang w:val="en-US" w:eastAsia="zh-CN"/>
        </w:rPr>
        <w:t>214.25</w:t>
      </w:r>
      <w:r>
        <w:rPr>
          <w:rFonts w:hint="eastAsia" w:ascii="仿宋_GB2312" w:hAnsi="ˎ̥" w:eastAsia="仿宋_GB2312"/>
          <w:color w:val="auto"/>
          <w:sz w:val="32"/>
          <w:szCs w:val="32"/>
        </w:rPr>
        <w:t>万元，占</w:t>
      </w:r>
      <w:r>
        <w:rPr>
          <w:rFonts w:hint="eastAsia" w:ascii="仿宋_GB2312" w:hAnsi="仿宋_GB2312" w:eastAsia="仿宋_GB2312" w:cs="仿宋_GB2312"/>
          <w:color w:val="auto"/>
          <w:kern w:val="0"/>
          <w:sz w:val="32"/>
          <w:szCs w:val="32"/>
          <w:lang w:bidi="ar"/>
        </w:rPr>
        <w:t>授予中小企业合同金额</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r>
        <w:rPr>
          <w:rFonts w:hint="eastAsia" w:ascii="仿宋_GB2312" w:hAnsi="ˎ̥" w:eastAsia="仿宋_GB2312"/>
          <w:color w:val="auto"/>
          <w:sz w:val="32"/>
          <w:szCs w:val="32"/>
        </w:rPr>
        <w:t>。</w:t>
      </w:r>
    </w:p>
    <w:p w14:paraId="724C8DE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color w:val="auto"/>
          <w:sz w:val="32"/>
          <w:szCs w:val="32"/>
        </w:rPr>
      </w:pPr>
      <w:bookmarkStart w:id="108" w:name="_Toc15129_WPSOffice_Level2"/>
      <w:bookmarkStart w:id="109" w:name="_Toc29584_WPSOffice_Level2"/>
      <w:bookmarkStart w:id="110" w:name="_Toc6016_WPSOffice_Level2"/>
      <w:bookmarkStart w:id="111" w:name="_Toc19989_WPSOffice_Level2"/>
      <w:bookmarkStart w:id="112" w:name="_Toc527_WPSOffice_Level2"/>
      <w:bookmarkStart w:id="113" w:name="_Toc10902_WPSOffice_Level2"/>
      <w:r>
        <w:rPr>
          <w:rFonts w:hint="eastAsia" w:ascii="楷体" w:hAnsi="楷体" w:eastAsia="楷体" w:cs="楷体"/>
          <w:bCs/>
          <w:color w:val="auto"/>
          <w:sz w:val="32"/>
          <w:szCs w:val="32"/>
        </w:rPr>
        <w:t>（三）国有资产占用情况</w:t>
      </w:r>
      <w:bookmarkEnd w:id="108"/>
      <w:bookmarkEnd w:id="109"/>
      <w:bookmarkEnd w:id="110"/>
      <w:bookmarkEnd w:id="111"/>
      <w:bookmarkEnd w:id="112"/>
      <w:bookmarkEnd w:id="113"/>
    </w:p>
    <w:p w14:paraId="7D44AA83">
      <w:pPr>
        <w:ind w:left="0" w:leftChars="0"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截至</w:t>
      </w:r>
      <w:r>
        <w:rPr>
          <w:rFonts w:hint="eastAsia" w:ascii="仿宋" w:hAnsi="仿宋" w:eastAsia="仿宋" w:cs="仿宋"/>
          <w:sz w:val="32"/>
          <w:szCs w:val="32"/>
          <w:lang w:val="en-US"/>
        </w:rPr>
        <w:t>2024</w:t>
      </w:r>
      <w:r>
        <w:rPr>
          <w:rFonts w:hint="eastAsia" w:ascii="仿宋" w:hAnsi="仿宋" w:eastAsia="仿宋" w:cs="仿宋"/>
          <w:sz w:val="32"/>
          <w:szCs w:val="32"/>
        </w:rPr>
        <w:t>年12月31日，本部门拥有房屋面积</w:t>
      </w:r>
      <w:r>
        <w:rPr>
          <w:rFonts w:hint="eastAsia" w:ascii="仿宋" w:hAnsi="仿宋" w:eastAsia="仿宋" w:cs="仿宋"/>
          <w:sz w:val="32"/>
          <w:szCs w:val="32"/>
          <w:lang w:val="en-US" w:eastAsia="zh-CN"/>
        </w:rPr>
        <w:t>0</w:t>
      </w:r>
      <w:r>
        <w:rPr>
          <w:rFonts w:hint="eastAsia" w:ascii="仿宋" w:hAnsi="仿宋" w:eastAsia="仿宋" w:cs="仿宋"/>
          <w:sz w:val="32"/>
          <w:szCs w:val="32"/>
        </w:rPr>
        <w:t>平方米</w:t>
      </w:r>
      <w:r>
        <w:rPr>
          <w:rFonts w:hint="eastAsia" w:ascii="仿宋" w:hAnsi="仿宋" w:eastAsia="仿宋" w:cs="仿宋"/>
          <w:sz w:val="32"/>
          <w:szCs w:val="32"/>
          <w:lang w:eastAsia="zh-CN"/>
        </w:rPr>
        <w:t>。</w:t>
      </w:r>
    </w:p>
    <w:p w14:paraId="3AED81D6">
      <w:pPr>
        <w:ind w:left="0" w:leftChars="0" w:firstLine="640" w:firstLineChars="200"/>
        <w:rPr>
          <w:rFonts w:hint="eastAsia" w:ascii="仿宋" w:hAnsi="仿宋" w:eastAsia="仿宋" w:cs="仿宋"/>
          <w:sz w:val="32"/>
          <w:szCs w:val="32"/>
        </w:rPr>
      </w:pPr>
      <w:r>
        <w:rPr>
          <w:rFonts w:hint="eastAsia" w:ascii="仿宋" w:hAnsi="仿宋" w:eastAsia="仿宋" w:cs="仿宋"/>
          <w:sz w:val="32"/>
          <w:szCs w:val="32"/>
        </w:rPr>
        <w:t>本部门共有车辆</w:t>
      </w:r>
      <w:r>
        <w:rPr>
          <w:rFonts w:hint="eastAsia" w:ascii="仿宋" w:hAnsi="仿宋" w:eastAsia="仿宋" w:cs="仿宋"/>
          <w:sz w:val="32"/>
          <w:szCs w:val="32"/>
          <w:lang w:val="en-US" w:eastAsia="zh-CN"/>
        </w:rPr>
        <w:t>0</w:t>
      </w:r>
      <w:r>
        <w:rPr>
          <w:rFonts w:hint="eastAsia" w:ascii="仿宋" w:hAnsi="仿宋" w:eastAsia="仿宋" w:cs="仿宋"/>
          <w:sz w:val="32"/>
          <w:szCs w:val="32"/>
        </w:rPr>
        <w:t>辆，其中，机要通信用车</w:t>
      </w:r>
      <w:r>
        <w:rPr>
          <w:rFonts w:hint="eastAsia" w:ascii="仿宋" w:hAnsi="仿宋" w:eastAsia="仿宋" w:cs="仿宋"/>
          <w:sz w:val="32"/>
          <w:szCs w:val="32"/>
          <w:lang w:val="en-US" w:eastAsia="zh-CN"/>
        </w:rPr>
        <w:t>0</w:t>
      </w:r>
      <w:r>
        <w:rPr>
          <w:rFonts w:hint="eastAsia" w:ascii="仿宋" w:hAnsi="仿宋" w:eastAsia="仿宋" w:cs="仿宋"/>
          <w:sz w:val="32"/>
          <w:szCs w:val="32"/>
        </w:rPr>
        <w:t>辆、应急保障用车</w:t>
      </w:r>
      <w:r>
        <w:rPr>
          <w:rFonts w:hint="eastAsia" w:ascii="仿宋" w:hAnsi="仿宋" w:eastAsia="仿宋" w:cs="仿宋"/>
          <w:sz w:val="32"/>
          <w:szCs w:val="32"/>
          <w:lang w:val="en-US" w:eastAsia="zh-CN"/>
        </w:rPr>
        <w:t>0</w:t>
      </w:r>
      <w:r>
        <w:rPr>
          <w:rFonts w:hint="eastAsia" w:ascii="仿宋" w:hAnsi="仿宋" w:eastAsia="仿宋" w:cs="仿宋"/>
          <w:sz w:val="32"/>
          <w:szCs w:val="32"/>
        </w:rPr>
        <w:t>辆、执法执勤用车</w:t>
      </w:r>
      <w:r>
        <w:rPr>
          <w:rFonts w:hint="eastAsia" w:ascii="仿宋" w:hAnsi="仿宋" w:eastAsia="仿宋" w:cs="仿宋"/>
          <w:sz w:val="32"/>
          <w:szCs w:val="32"/>
          <w:lang w:val="en-US" w:eastAsia="zh-CN"/>
        </w:rPr>
        <w:t>0</w:t>
      </w:r>
      <w:r>
        <w:rPr>
          <w:rFonts w:hint="eastAsia" w:ascii="仿宋" w:hAnsi="仿宋" w:eastAsia="仿宋" w:cs="仿宋"/>
          <w:sz w:val="32"/>
          <w:szCs w:val="32"/>
        </w:rPr>
        <w:t>辆、特种专业技术用车</w:t>
      </w:r>
      <w:r>
        <w:rPr>
          <w:rFonts w:hint="eastAsia" w:ascii="仿宋" w:hAnsi="仿宋" w:eastAsia="仿宋" w:cs="仿宋"/>
          <w:sz w:val="32"/>
          <w:szCs w:val="32"/>
          <w:lang w:val="en-US" w:eastAsia="zh-CN"/>
        </w:rPr>
        <w:t>0</w:t>
      </w:r>
      <w:r>
        <w:rPr>
          <w:rFonts w:hint="eastAsia" w:ascii="仿宋" w:hAnsi="仿宋" w:eastAsia="仿宋" w:cs="仿宋"/>
          <w:sz w:val="32"/>
          <w:szCs w:val="32"/>
        </w:rPr>
        <w:t>辆、其他用车</w:t>
      </w:r>
      <w:r>
        <w:rPr>
          <w:rFonts w:hint="eastAsia" w:ascii="仿宋" w:hAnsi="仿宋" w:eastAsia="仿宋" w:cs="仿宋"/>
          <w:sz w:val="32"/>
          <w:szCs w:val="32"/>
          <w:lang w:val="en-US" w:eastAsia="zh-CN"/>
        </w:rPr>
        <w:t>0</w:t>
      </w:r>
      <w:r>
        <w:rPr>
          <w:rFonts w:hint="eastAsia" w:ascii="仿宋" w:hAnsi="仿宋" w:eastAsia="仿宋" w:cs="仿宋"/>
          <w:sz w:val="32"/>
          <w:szCs w:val="32"/>
        </w:rPr>
        <w:t>辆，其他用车主要是</w:t>
      </w:r>
      <w:r>
        <w:rPr>
          <w:rFonts w:hint="eastAsia" w:ascii="仿宋" w:hAnsi="仿宋" w:eastAsia="仿宋" w:cs="仿宋"/>
          <w:sz w:val="32"/>
          <w:szCs w:val="32"/>
          <w:lang w:eastAsia="zh-CN"/>
        </w:rPr>
        <w:t>一般工作业务用车等</w:t>
      </w:r>
      <w:r>
        <w:rPr>
          <w:rFonts w:hint="eastAsia" w:ascii="仿宋" w:hAnsi="仿宋" w:eastAsia="仿宋" w:cs="仿宋"/>
          <w:sz w:val="32"/>
          <w:szCs w:val="32"/>
        </w:rPr>
        <w:t>。单价100万元（含）以上设备（不含车辆）</w:t>
      </w:r>
      <w:r>
        <w:rPr>
          <w:rFonts w:hint="eastAsia" w:ascii="仿宋" w:hAnsi="仿宋" w:eastAsia="仿宋" w:cs="仿宋"/>
          <w:sz w:val="32"/>
          <w:szCs w:val="32"/>
          <w:lang w:val="en-US" w:eastAsia="zh-CN"/>
        </w:rPr>
        <w:t>0</w:t>
      </w:r>
      <w:r>
        <w:rPr>
          <w:rFonts w:hint="eastAsia" w:ascii="仿宋" w:hAnsi="仿宋" w:eastAsia="仿宋" w:cs="仿宋"/>
          <w:sz w:val="32"/>
          <w:szCs w:val="32"/>
        </w:rPr>
        <w:t>台（套）。</w:t>
      </w:r>
    </w:p>
    <w:p w14:paraId="6CFD9ED4">
      <w:pPr>
        <w:ind w:left="0" w:leftChars="0" w:firstLine="640" w:firstLineChars="200"/>
        <w:rPr>
          <w:rFonts w:hint="eastAsia" w:ascii="黑体" w:hAnsi="ˎ̥" w:eastAsia="黑体"/>
          <w:color w:val="auto"/>
          <w:sz w:val="32"/>
          <w:szCs w:val="32"/>
        </w:rPr>
      </w:pPr>
      <w:r>
        <w:rPr>
          <w:rFonts w:hint="eastAsia" w:ascii="仿宋" w:hAnsi="仿宋" w:eastAsia="仿宋" w:cs="仿宋"/>
          <w:sz w:val="32"/>
          <w:szCs w:val="32"/>
          <w:lang w:eastAsia="zh-CN"/>
        </w:rPr>
        <w:t>年末在建工程</w:t>
      </w:r>
      <w:r>
        <w:rPr>
          <w:rFonts w:hint="eastAsia" w:ascii="仿宋" w:hAnsi="仿宋" w:eastAsia="仿宋" w:cs="仿宋"/>
          <w:sz w:val="32"/>
          <w:szCs w:val="32"/>
          <w:lang w:val="en-US" w:eastAsia="zh-CN"/>
        </w:rPr>
        <w:t>0万元。</w:t>
      </w:r>
      <w:bookmarkStart w:id="114" w:name="_Toc17580_WPSOffice_Level1"/>
      <w:bookmarkStart w:id="115" w:name="_Toc8808_WPSOffice_Level1"/>
      <w:bookmarkStart w:id="116" w:name="_Toc15425_WPSOffice_Level1"/>
      <w:bookmarkStart w:id="117" w:name="_Toc8874_WPSOffice_Level1"/>
      <w:bookmarkStart w:id="118" w:name="_Toc4398_WPSOffice_Level1"/>
      <w:bookmarkStart w:id="119" w:name="_Toc11039_WPSOffice_Level1"/>
    </w:p>
    <w:p w14:paraId="5A9894DF">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ˎ̥" w:eastAsia="黑体"/>
          <w:color w:val="auto"/>
          <w:sz w:val="32"/>
          <w:szCs w:val="32"/>
        </w:rPr>
      </w:pPr>
      <w:bookmarkStart w:id="120" w:name="_GoBack"/>
      <w:bookmarkEnd w:id="120"/>
      <w:r>
        <w:rPr>
          <w:rFonts w:hint="eastAsia" w:ascii="黑体" w:hAnsi="ˎ̥" w:eastAsia="黑体"/>
          <w:color w:val="auto"/>
          <w:sz w:val="32"/>
          <w:szCs w:val="32"/>
        </w:rPr>
        <w:t>第四部分  名词解释</w:t>
      </w:r>
      <w:bookmarkEnd w:id="114"/>
      <w:bookmarkEnd w:id="115"/>
      <w:bookmarkEnd w:id="116"/>
      <w:bookmarkEnd w:id="117"/>
      <w:bookmarkEnd w:id="118"/>
      <w:bookmarkEnd w:id="119"/>
    </w:p>
    <w:p w14:paraId="3DCF1EF8">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ˎ̥" w:eastAsia="黑体"/>
          <w:color w:val="auto"/>
          <w:sz w:val="32"/>
          <w:szCs w:val="32"/>
        </w:rPr>
      </w:pPr>
    </w:p>
    <w:p w14:paraId="737AC0C1">
      <w:pPr>
        <w:keepNext w:val="0"/>
        <w:keepLines w:val="0"/>
        <w:pageBreakBefore w:val="0"/>
        <w:widowControl w:val="0"/>
        <w:numPr>
          <w:ilvl w:val="0"/>
          <w:numId w:val="4"/>
        </w:numPr>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_GB2312" w:hAnsi="ˎ̥" w:eastAsia="仿宋_GB2312"/>
          <w:color w:val="auto"/>
          <w:sz w:val="32"/>
          <w:szCs w:val="32"/>
        </w:rPr>
        <w:t>财政拨款收入：指同级政府财政部门当年拨付的各类财政拨款。</w:t>
      </w:r>
    </w:p>
    <w:p w14:paraId="3690342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_GB2312" w:hAnsi="ˎ̥" w:eastAsia="仿宋_GB2312"/>
          <w:color w:val="auto"/>
          <w:sz w:val="32"/>
          <w:szCs w:val="32"/>
        </w:rPr>
        <w:t>二、上级补助收入：指事业单位从主管部门和上级单位取得的非财政补助收入。</w:t>
      </w:r>
    </w:p>
    <w:p w14:paraId="105E509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_GB2312" w:hAnsi="ˎ̥" w:eastAsia="仿宋_GB2312"/>
          <w:color w:val="auto"/>
          <w:sz w:val="32"/>
          <w:szCs w:val="32"/>
        </w:rPr>
        <w:t>三、事业收入：指事业单位开展专业业务活动及辅助活动取得的收入。</w:t>
      </w:r>
    </w:p>
    <w:p w14:paraId="265E9D7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_GB2312" w:hAnsi="ˎ̥" w:eastAsia="仿宋_GB2312"/>
          <w:color w:val="auto"/>
          <w:sz w:val="32"/>
          <w:szCs w:val="32"/>
        </w:rPr>
        <w:t>四、经营收入：指事业单位在专业业务活动及其辅助活动之外开展非独立核算经营活动取得的收入。</w:t>
      </w:r>
    </w:p>
    <w:p w14:paraId="14D0CA1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_GB2312" w:hAnsi="ˎ̥" w:eastAsia="仿宋_GB2312"/>
          <w:color w:val="auto"/>
          <w:sz w:val="32"/>
          <w:szCs w:val="32"/>
        </w:rPr>
        <w:t>五、附属单位上缴收入：指事业单位取得附属独立核算单位根据有关规定上缴的收入。</w:t>
      </w:r>
    </w:p>
    <w:p w14:paraId="146E9C0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_GB2312" w:hAnsi="ˎ̥" w:eastAsia="仿宋_GB2312"/>
          <w:color w:val="auto"/>
          <w:sz w:val="32"/>
          <w:szCs w:val="32"/>
        </w:rPr>
        <w:t>六、其他收入：指除上述“财政拨款收入”“事业收入”“上级补助收入”“经营收入”“附属单位上缴收入”等以外的收入。</w:t>
      </w:r>
    </w:p>
    <w:p w14:paraId="7C9D2E2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_GB2312" w:hAnsi="ˎ̥" w:eastAsia="仿宋_GB2312"/>
          <w:color w:val="auto"/>
          <w:sz w:val="32"/>
          <w:szCs w:val="32"/>
        </w:rPr>
        <w:t>七、使用非财政拨款结余：指事业单位在当年的“财政拨款收入”“事业收入”“经营收入”“其他收入”等不足以安排当年支出的情况下，使用非同级财政拨款结余资金弥补本年度收支缺口。</w:t>
      </w:r>
    </w:p>
    <w:p w14:paraId="47CB16C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_GB2312" w:hAnsi="ˎ̥" w:eastAsia="仿宋_GB2312"/>
          <w:color w:val="auto"/>
          <w:sz w:val="32"/>
          <w:szCs w:val="32"/>
        </w:rPr>
        <w:t>八、年初结转和结余：指以前年度尚未完成、结转到本年按有关规定继续使用的资金，或项目已完成等产生的结余资金。</w:t>
      </w:r>
    </w:p>
    <w:p w14:paraId="30234F6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_GB2312" w:hAnsi="ˎ̥" w:eastAsia="仿宋_GB2312"/>
          <w:color w:val="auto"/>
          <w:sz w:val="32"/>
          <w:szCs w:val="32"/>
        </w:rPr>
        <w:t>九、结余分配：指事业单位缴纳企业所得税以及从非财政拨款结余或经营结余中提取各类结余的情况。</w:t>
      </w:r>
    </w:p>
    <w:p w14:paraId="378D045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_GB2312" w:hAnsi="ˎ̥" w:eastAsia="仿宋_GB2312"/>
          <w:color w:val="auto"/>
          <w:sz w:val="32"/>
          <w:szCs w:val="32"/>
        </w:rPr>
        <w:t>十、年末结转和结余：指本年度或以前年度预算安排、因客观条件发生变化无法按原计划实施，需要延迟到以后年度按有关规定继续使用的资金（不包括事业单位非财政拨款结余和专用结余）。</w:t>
      </w:r>
    </w:p>
    <w:p w14:paraId="2FD77D0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_GB2312" w:hAnsi="ˎ̥" w:eastAsia="仿宋_GB2312"/>
          <w:color w:val="auto"/>
          <w:sz w:val="32"/>
          <w:szCs w:val="32"/>
        </w:rPr>
        <w:t>十一、基本支出：指为保障机构正常运转、完成日常工作任务而发生的人员支出和公用支出。</w:t>
      </w:r>
    </w:p>
    <w:p w14:paraId="79DB977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_GB2312" w:hAnsi="ˎ̥" w:eastAsia="仿宋_GB2312"/>
          <w:color w:val="auto"/>
          <w:sz w:val="32"/>
          <w:szCs w:val="32"/>
        </w:rPr>
        <w:t>十二、项目支出：指在基本支出之外为完成特定行政任务和事业发展目标所发生的支出。</w:t>
      </w:r>
    </w:p>
    <w:p w14:paraId="54E8D5F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_GB2312" w:hAnsi="ˎ̥" w:eastAsia="仿宋_GB2312"/>
          <w:color w:val="auto"/>
          <w:sz w:val="32"/>
          <w:szCs w:val="32"/>
        </w:rPr>
        <w:t>十三、经营支出：指事业单位在专业业务活动及其辅助活动之外开展非独立核算经营活动发生的支出。</w:t>
      </w:r>
    </w:p>
    <w:p w14:paraId="5EABBDE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_GB2312" w:hAnsi="ˎ̥" w:eastAsia="仿宋_GB2312"/>
          <w:color w:val="auto"/>
          <w:sz w:val="32"/>
          <w:szCs w:val="32"/>
        </w:rPr>
        <w:t>十四、“三公”经费：纳入本级财政预决算管理的“三公”经费，是指用一般公共预算财政拨款、政府性基金预算财政拨款及国有资本经营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维修费、过路过桥费、保险费、安全奖励费用等支出；公务接待费反映单位按规定开支的各类公务接待（含外宾接待）费用。</w:t>
      </w:r>
    </w:p>
    <w:p w14:paraId="307772E4">
      <w:pPr>
        <w:keepNext w:val="0"/>
        <w:keepLines w:val="0"/>
        <w:pageBreakBefore w:val="0"/>
        <w:widowControl w:val="0"/>
        <w:kinsoku/>
        <w:wordWrap/>
        <w:overflowPunct/>
        <w:topLinePunct w:val="0"/>
        <w:autoSpaceDE/>
        <w:autoSpaceDN/>
        <w:bidi w:val="0"/>
        <w:adjustRightInd/>
        <w:snapToGrid/>
        <w:spacing w:line="578" w:lineRule="exact"/>
        <w:ind w:firstLine="645"/>
        <w:textAlignment w:val="auto"/>
        <w:rPr>
          <w:rFonts w:hint="eastAsia" w:ascii="仿宋_GB2312" w:hAnsi="ˎ̥" w:eastAsia="仿宋_GB2312"/>
          <w:color w:val="auto"/>
          <w:sz w:val="32"/>
          <w:szCs w:val="32"/>
        </w:rPr>
      </w:pPr>
      <w:r>
        <w:rPr>
          <w:rFonts w:hint="eastAsia" w:ascii="仿宋_GB2312" w:hAnsi="ˎ̥" w:eastAsia="仿宋_GB2312"/>
          <w:color w:val="auto"/>
          <w:sz w:val="32"/>
          <w:szCs w:val="32"/>
        </w:rPr>
        <w:t>十五、机关运行经费：为保障行政单位（含参照公务员法管理的事业单位）运行使用一般公共预算财政拨款安排的基本支出经费用于购买货物和服务的各项资金，包括办公及印刷费、邮电费、差旅费、会议费、福利费、日常维修费、专用材料及一般设备购置费、办公用房水电费、办公用房取暖费、办公用房物业管理费、公务用车运行维护费以及其他费用等。</w:t>
      </w:r>
    </w:p>
    <w:p w14:paraId="592AF60D">
      <w:pPr>
        <w:keepNext w:val="0"/>
        <w:keepLines w:val="0"/>
        <w:pageBreakBefore w:val="0"/>
        <w:widowControl w:val="0"/>
        <w:kinsoku/>
        <w:wordWrap/>
        <w:overflowPunct/>
        <w:topLinePunct w:val="0"/>
        <w:autoSpaceDE/>
        <w:autoSpaceDN/>
        <w:bidi w:val="0"/>
        <w:adjustRightInd/>
        <w:snapToGrid/>
        <w:spacing w:line="578" w:lineRule="exact"/>
        <w:textAlignment w:val="auto"/>
        <w:rPr>
          <w:color w:val="auto"/>
        </w:rPr>
      </w:pPr>
    </w:p>
    <w:sectPr>
      <w:footerReference r:id="rId3" w:type="default"/>
      <w:footerReference r:id="rId4" w:type="even"/>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MS UI Gothic">
    <w:panose1 w:val="020B0600070205080204"/>
    <w:charset w:val="86"/>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DD14C8">
    <w:pPr>
      <w:pStyle w:val="5"/>
      <w:framePr w:wrap="around" w:vAnchor="text" w:hAnchor="margin" w:xAlign="center" w:y="1"/>
      <w:rPr>
        <w:rStyle w:val="10"/>
      </w:rPr>
    </w:pPr>
    <w:r>
      <w:fldChar w:fldCharType="begin"/>
    </w:r>
    <w:r>
      <w:rPr>
        <w:rStyle w:val="10"/>
      </w:rPr>
      <w:instrText xml:space="preserve">PAGE  </w:instrText>
    </w:r>
    <w:r>
      <w:fldChar w:fldCharType="separate"/>
    </w:r>
    <w:r>
      <w:rPr>
        <w:rStyle w:val="10"/>
      </w:rPr>
      <w:t>18</w:t>
    </w:r>
    <w:r>
      <w:fldChar w:fldCharType="end"/>
    </w:r>
  </w:p>
  <w:p w14:paraId="7FF56F0D">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B4C787">
    <w:pPr>
      <w:pStyle w:val="5"/>
      <w:framePr w:wrap="around" w:vAnchor="text" w:hAnchor="margin" w:xAlign="center" w:y="1"/>
      <w:rPr>
        <w:rStyle w:val="10"/>
      </w:rPr>
    </w:pPr>
    <w:r>
      <w:fldChar w:fldCharType="begin"/>
    </w:r>
    <w:r>
      <w:rPr>
        <w:rStyle w:val="10"/>
      </w:rPr>
      <w:instrText xml:space="preserve">PAGE  </w:instrText>
    </w:r>
    <w:r>
      <w:fldChar w:fldCharType="separate"/>
    </w:r>
    <w:r>
      <w:fldChar w:fldCharType="end"/>
    </w:r>
  </w:p>
  <w:p w14:paraId="02412C4A">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FC2DCC"/>
    <w:multiLevelType w:val="singleLevel"/>
    <w:tmpl w:val="AFFC2DCC"/>
    <w:lvl w:ilvl="0" w:tentative="0">
      <w:start w:val="1"/>
      <w:numFmt w:val="chineseCounting"/>
      <w:suff w:val="nothing"/>
      <w:lvlText w:val="%1、"/>
      <w:lvlJc w:val="left"/>
      <w:rPr>
        <w:rFonts w:hint="eastAsia"/>
      </w:rPr>
    </w:lvl>
  </w:abstractNum>
  <w:abstractNum w:abstractNumId="1">
    <w:nsid w:val="FDFEEA20"/>
    <w:multiLevelType w:val="singleLevel"/>
    <w:tmpl w:val="FDFEEA20"/>
    <w:lvl w:ilvl="0" w:tentative="0">
      <w:start w:val="2"/>
      <w:numFmt w:val="chineseCounting"/>
      <w:suff w:val="nothing"/>
      <w:lvlText w:val="（%1）"/>
      <w:lvlJc w:val="left"/>
      <w:rPr>
        <w:rFonts w:hint="eastAsia"/>
      </w:rPr>
    </w:lvl>
  </w:abstractNum>
  <w:abstractNum w:abstractNumId="2">
    <w:nsid w:val="FF2B3CA8"/>
    <w:multiLevelType w:val="singleLevel"/>
    <w:tmpl w:val="FF2B3CA8"/>
    <w:lvl w:ilvl="0" w:tentative="0">
      <w:start w:val="1"/>
      <w:numFmt w:val="chineseCounting"/>
      <w:suff w:val="nothing"/>
      <w:lvlText w:val="%1、"/>
      <w:lvlJc w:val="left"/>
      <w:rPr>
        <w:rFonts w:hint="eastAsia"/>
      </w:rPr>
    </w:lvl>
  </w:abstractNum>
  <w:abstractNum w:abstractNumId="3">
    <w:nsid w:val="72109F8D"/>
    <w:multiLevelType w:val="singleLevel"/>
    <w:tmpl w:val="72109F8D"/>
    <w:lvl w:ilvl="0" w:tentative="0">
      <w:start w:val="7"/>
      <w:numFmt w:val="chineseCounting"/>
      <w:suff w:val="nothing"/>
      <w:lvlText w:val="%1、"/>
      <w:lvlJc w:val="left"/>
      <w:rPr>
        <w:rFonts w:hint="eastAsi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VlZThlZDk5ZTQ4MTFjNGY3MjIxNTdiOWMzZmQwMWMifQ=="/>
  </w:docVars>
  <w:rsids>
    <w:rsidRoot w:val="A7F73C99"/>
    <w:rsid w:val="00064A91"/>
    <w:rsid w:val="000718C4"/>
    <w:rsid w:val="000779B0"/>
    <w:rsid w:val="001E4E23"/>
    <w:rsid w:val="001E510D"/>
    <w:rsid w:val="001F28C1"/>
    <w:rsid w:val="001F4EC0"/>
    <w:rsid w:val="00213789"/>
    <w:rsid w:val="002A6E07"/>
    <w:rsid w:val="0034456B"/>
    <w:rsid w:val="003D2F77"/>
    <w:rsid w:val="004C755C"/>
    <w:rsid w:val="004D515A"/>
    <w:rsid w:val="004D5572"/>
    <w:rsid w:val="0050273F"/>
    <w:rsid w:val="00513897"/>
    <w:rsid w:val="00530C81"/>
    <w:rsid w:val="005C43A2"/>
    <w:rsid w:val="005E64FB"/>
    <w:rsid w:val="005F5987"/>
    <w:rsid w:val="00602EED"/>
    <w:rsid w:val="006B0D64"/>
    <w:rsid w:val="00731FC7"/>
    <w:rsid w:val="00740E64"/>
    <w:rsid w:val="00754F6E"/>
    <w:rsid w:val="007A4101"/>
    <w:rsid w:val="008232A9"/>
    <w:rsid w:val="00896ADB"/>
    <w:rsid w:val="009A2744"/>
    <w:rsid w:val="00A54A37"/>
    <w:rsid w:val="00A70448"/>
    <w:rsid w:val="00AA19F3"/>
    <w:rsid w:val="00AC28EE"/>
    <w:rsid w:val="00AC3F0E"/>
    <w:rsid w:val="00B36E61"/>
    <w:rsid w:val="00B409FF"/>
    <w:rsid w:val="00B4133E"/>
    <w:rsid w:val="00B54DE8"/>
    <w:rsid w:val="00B63E9E"/>
    <w:rsid w:val="00BC0439"/>
    <w:rsid w:val="00C04C21"/>
    <w:rsid w:val="00C7436A"/>
    <w:rsid w:val="00CA0F14"/>
    <w:rsid w:val="00CA536B"/>
    <w:rsid w:val="00CB0D1E"/>
    <w:rsid w:val="00CD6E49"/>
    <w:rsid w:val="00CD794A"/>
    <w:rsid w:val="00DB612B"/>
    <w:rsid w:val="00DC2A37"/>
    <w:rsid w:val="00E07782"/>
    <w:rsid w:val="00E70EA3"/>
    <w:rsid w:val="00F0336A"/>
    <w:rsid w:val="00F06DA9"/>
    <w:rsid w:val="00F103D6"/>
    <w:rsid w:val="00F25220"/>
    <w:rsid w:val="00FA2884"/>
    <w:rsid w:val="00FC03DC"/>
    <w:rsid w:val="00FC5708"/>
    <w:rsid w:val="09201287"/>
    <w:rsid w:val="0FC80124"/>
    <w:rsid w:val="136F98C7"/>
    <w:rsid w:val="13A82192"/>
    <w:rsid w:val="17427E68"/>
    <w:rsid w:val="1755065F"/>
    <w:rsid w:val="1AFC29C9"/>
    <w:rsid w:val="1CA52F2E"/>
    <w:rsid w:val="1DE7D417"/>
    <w:rsid w:val="1E2646A3"/>
    <w:rsid w:val="1E3630B9"/>
    <w:rsid w:val="1FFE92CD"/>
    <w:rsid w:val="26EEC2B5"/>
    <w:rsid w:val="29472309"/>
    <w:rsid w:val="2B406E77"/>
    <w:rsid w:val="2C2A0C43"/>
    <w:rsid w:val="2D1E73A5"/>
    <w:rsid w:val="2F49435B"/>
    <w:rsid w:val="32717154"/>
    <w:rsid w:val="34B63260"/>
    <w:rsid w:val="37FDA7E2"/>
    <w:rsid w:val="38F502AF"/>
    <w:rsid w:val="3A314D88"/>
    <w:rsid w:val="3A746883"/>
    <w:rsid w:val="3B794840"/>
    <w:rsid w:val="3CA15DE9"/>
    <w:rsid w:val="3F6F5D69"/>
    <w:rsid w:val="3FE61EE5"/>
    <w:rsid w:val="406508EE"/>
    <w:rsid w:val="408D6263"/>
    <w:rsid w:val="41B40CEE"/>
    <w:rsid w:val="47BFE802"/>
    <w:rsid w:val="47FD30B1"/>
    <w:rsid w:val="48317291"/>
    <w:rsid w:val="485F7024"/>
    <w:rsid w:val="48E70666"/>
    <w:rsid w:val="4C6877E5"/>
    <w:rsid w:val="4D6A468D"/>
    <w:rsid w:val="4EA86137"/>
    <w:rsid w:val="552B4635"/>
    <w:rsid w:val="56CA7FD0"/>
    <w:rsid w:val="57FA38D1"/>
    <w:rsid w:val="59FD70AC"/>
    <w:rsid w:val="5C5551C1"/>
    <w:rsid w:val="5CAF138F"/>
    <w:rsid w:val="5D7FC3CC"/>
    <w:rsid w:val="5EBE5E7F"/>
    <w:rsid w:val="5F4B32D9"/>
    <w:rsid w:val="5F7D3333"/>
    <w:rsid w:val="61385890"/>
    <w:rsid w:val="654A45B1"/>
    <w:rsid w:val="65F78C0E"/>
    <w:rsid w:val="67FF6ECF"/>
    <w:rsid w:val="687436E1"/>
    <w:rsid w:val="6B3250DF"/>
    <w:rsid w:val="6DA45C50"/>
    <w:rsid w:val="6E9A7825"/>
    <w:rsid w:val="6EED3DE8"/>
    <w:rsid w:val="6F670F9B"/>
    <w:rsid w:val="6FB1948C"/>
    <w:rsid w:val="722A3B42"/>
    <w:rsid w:val="737450E0"/>
    <w:rsid w:val="74054476"/>
    <w:rsid w:val="742F38C4"/>
    <w:rsid w:val="74AB66DC"/>
    <w:rsid w:val="74B3A6C8"/>
    <w:rsid w:val="74C4154C"/>
    <w:rsid w:val="75956FFF"/>
    <w:rsid w:val="760BF0ED"/>
    <w:rsid w:val="76DE4092"/>
    <w:rsid w:val="771C469C"/>
    <w:rsid w:val="77AA2D01"/>
    <w:rsid w:val="77CF2213"/>
    <w:rsid w:val="77FAB2D6"/>
    <w:rsid w:val="79F83A97"/>
    <w:rsid w:val="7A9A3644"/>
    <w:rsid w:val="7AEC8C0E"/>
    <w:rsid w:val="7AFF1D4C"/>
    <w:rsid w:val="7C176AA6"/>
    <w:rsid w:val="7CDE1DBD"/>
    <w:rsid w:val="7D943A85"/>
    <w:rsid w:val="7DB0448C"/>
    <w:rsid w:val="7DD60598"/>
    <w:rsid w:val="7E5F9AA4"/>
    <w:rsid w:val="7E8BAA46"/>
    <w:rsid w:val="7EFB4268"/>
    <w:rsid w:val="7FEF5361"/>
    <w:rsid w:val="7FFF7EEC"/>
    <w:rsid w:val="8FFC8888"/>
    <w:rsid w:val="A7F73C99"/>
    <w:rsid w:val="B25F69A9"/>
    <w:rsid w:val="BAE744C8"/>
    <w:rsid w:val="BFDDB990"/>
    <w:rsid w:val="BFFE3BF4"/>
    <w:rsid w:val="C33A6D18"/>
    <w:rsid w:val="DFEBDA37"/>
    <w:rsid w:val="DFFEC755"/>
    <w:rsid w:val="E7EB8210"/>
    <w:rsid w:val="EF6FCA1D"/>
    <w:rsid w:val="EFF3ED2A"/>
    <w:rsid w:val="EFF9EE23"/>
    <w:rsid w:val="EFFF57D6"/>
    <w:rsid w:val="F5FE41B7"/>
    <w:rsid w:val="F65EA510"/>
    <w:rsid w:val="F7DFD152"/>
    <w:rsid w:val="F95BE214"/>
    <w:rsid w:val="F9DE74E4"/>
    <w:rsid w:val="FB3BFF91"/>
    <w:rsid w:val="FB971015"/>
    <w:rsid w:val="FD33A2D0"/>
    <w:rsid w:val="FF37DA54"/>
    <w:rsid w:val="FF7FA20F"/>
    <w:rsid w:val="FFDFBBA4"/>
    <w:rsid w:val="FFF78DC0"/>
    <w:rsid w:val="FFFE81A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annotation text"/>
    <w:basedOn w:val="1"/>
    <w:link w:val="12"/>
    <w:qFormat/>
    <w:uiPriority w:val="0"/>
    <w:pPr>
      <w:jc w:val="left"/>
    </w:pPr>
  </w:style>
  <w:style w:type="paragraph" w:styleId="4">
    <w:name w:val="Balloon Text"/>
    <w:basedOn w:val="1"/>
    <w:link w:val="13"/>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5"/>
    <w:qFormat/>
    <w:uiPriority w:val="0"/>
    <w:rPr>
      <w:b/>
      <w:bCs/>
    </w:rPr>
  </w:style>
  <w:style w:type="character" w:styleId="10">
    <w:name w:val="page number"/>
    <w:qFormat/>
    <w:uiPriority w:val="0"/>
  </w:style>
  <w:style w:type="character" w:styleId="11">
    <w:name w:val="annotation reference"/>
    <w:qFormat/>
    <w:uiPriority w:val="0"/>
    <w:rPr>
      <w:sz w:val="21"/>
      <w:szCs w:val="21"/>
    </w:rPr>
  </w:style>
  <w:style w:type="character" w:customStyle="1" w:styleId="12">
    <w:name w:val="批注文字 Char"/>
    <w:link w:val="3"/>
    <w:qFormat/>
    <w:uiPriority w:val="0"/>
    <w:rPr>
      <w:kern w:val="2"/>
      <w:sz w:val="21"/>
      <w:szCs w:val="24"/>
    </w:rPr>
  </w:style>
  <w:style w:type="character" w:customStyle="1" w:styleId="13">
    <w:name w:val="批注框文本 Char"/>
    <w:link w:val="4"/>
    <w:qFormat/>
    <w:uiPriority w:val="0"/>
    <w:rPr>
      <w:kern w:val="2"/>
      <w:sz w:val="18"/>
      <w:szCs w:val="18"/>
    </w:rPr>
  </w:style>
  <w:style w:type="character" w:customStyle="1" w:styleId="14">
    <w:name w:val="页眉 Char"/>
    <w:link w:val="6"/>
    <w:qFormat/>
    <w:uiPriority w:val="0"/>
    <w:rPr>
      <w:kern w:val="2"/>
      <w:sz w:val="18"/>
      <w:szCs w:val="18"/>
    </w:rPr>
  </w:style>
  <w:style w:type="character" w:customStyle="1" w:styleId="15">
    <w:name w:val="批注主题 Char"/>
    <w:link w:val="7"/>
    <w:qFormat/>
    <w:uiPriority w:val="0"/>
    <w:rPr>
      <w:b/>
      <w:bCs/>
      <w:kern w:val="2"/>
      <w:sz w:val="21"/>
      <w:szCs w:val="24"/>
    </w:rPr>
  </w:style>
  <w:style w:type="paragraph" w:customStyle="1" w:styleId="16">
    <w:name w:val="WPSOffice手动目录 1"/>
    <w:qFormat/>
    <w:uiPriority w:val="0"/>
    <w:rPr>
      <w:rFonts w:ascii="Times New Roman" w:hAnsi="Times New Roman" w:eastAsia="宋体" w:cs="Times New Roman"/>
      <w:lang w:val="en-US" w:eastAsia="zh-CN" w:bidi="ar-SA"/>
    </w:rPr>
  </w:style>
  <w:style w:type="paragraph" w:customStyle="1" w:styleId="17">
    <w:name w:val="WPSOffice手动目录 2"/>
    <w:qFormat/>
    <w:uiPriority w:val="0"/>
    <w:pPr>
      <w:ind w:leftChars="200"/>
    </w:pPr>
    <w:rPr>
      <w:rFonts w:ascii="Times New Roman" w:hAnsi="Times New Roman" w:eastAsia="宋体" w:cs="Times New Roman"/>
      <w:lang w:val="en-US" w:eastAsia="zh-CN" w:bidi="ar-SA"/>
    </w:rPr>
  </w:style>
  <w:style w:type="paragraph" w:customStyle="1" w:styleId="18">
    <w:name w:val="正文1 Char Char Char"/>
    <w:basedOn w:val="1"/>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5911</Words>
  <Characters>6371</Characters>
  <Lines>67</Lines>
  <Paragraphs>18</Paragraphs>
  <TotalTime>19</TotalTime>
  <ScaleCrop>false</ScaleCrop>
  <LinksUpToDate>false</LinksUpToDate>
  <CharactersWithSpaces>6441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2024-07-25T11:26:00Z</dcterms:created>
  <dc:creator>uos</dc:creator>
  <cp:lastModifiedBy>林臻</cp:lastModifiedBy>
  <cp:lastPrinted>2023-08-04T08:58:00Z</cp:lastPrinted>
  <dcterms:modified xsi:type="dcterms:W3CDTF">2025-09-05T01:20:07Z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03AE7F14E2DC4BACB053764200FF950D_13</vt:lpwstr>
  </property>
  <property fmtid="{D5CDD505-2E9C-101B-9397-08002B2CF9AE}" pid="4" name="KSOTemplateDocerSaveRecord">
    <vt:lpwstr>eyJoZGlkIjoiNzBkNjkxMDEyNzIwNDRjMmZkZTcyMmFmNzZhYTk1NDgiLCJ1c2VySWQiOiIxNDU3NjcyNzU5In0=</vt:lpwstr>
  </property>
</Properties>
</file>