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F4CF7">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海南</w:t>
      </w:r>
      <w:bookmarkStart w:id="121" w:name="_GoBack"/>
      <w:bookmarkEnd w:id="121"/>
      <w:r>
        <w:rPr>
          <w:rFonts w:hint="eastAsia" w:asciiTheme="majorEastAsia" w:hAnsiTheme="majorEastAsia" w:eastAsiaTheme="majorEastAsia" w:cstheme="majorEastAsia"/>
          <w:b/>
          <w:bCs/>
          <w:sz w:val="44"/>
          <w:szCs w:val="44"/>
        </w:rPr>
        <w:t>会山省级自然保护区管理站2024年度部门决算公开报告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B013F23">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3</w:t>
      </w:r>
    </w:p>
    <w:p w14:paraId="6E57563D">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4</w:t>
      </w:r>
    </w:p>
    <w:p w14:paraId="65C40179">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4BD7D57F">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0C54764D">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1FC70A3">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7A0C8420">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F3513AE">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7</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eastAsia="宋体"/>
          <w:b/>
          <w:sz w:val="32"/>
          <w:szCs w:val="32"/>
          <w:lang w:val="en-US"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4</w:t>
      </w:r>
    </w:p>
    <w:p w14:paraId="4EC8D6DA">
      <w:pPr>
        <w:spacing w:line="578" w:lineRule="exact"/>
        <w:jc w:val="both"/>
        <w:rPr>
          <w:rFonts w:hint="eastAsia" w:ascii="黑体" w:hAnsi="ˎ̥" w:eastAsia="黑体"/>
          <w:sz w:val="32"/>
          <w:szCs w:val="32"/>
        </w:rPr>
      </w:pPr>
      <w:bookmarkStart w:id="2" w:name="_Toc22941_WPSOffice_Level1"/>
      <w:bookmarkStart w:id="3" w:name="_Toc10049_WPSOffice_Level1"/>
      <w:bookmarkStart w:id="4" w:name="_Toc1704_WPSOffice_Level1"/>
      <w:bookmarkStart w:id="5" w:name="_Toc10720_WPSOffice_Level1"/>
      <w:bookmarkStart w:id="6" w:name="_Toc32433_WPSOffice_Level1"/>
      <w:bookmarkStart w:id="7" w:name="_Toc23465_WPSOffice_Level1"/>
      <w:bookmarkStart w:id="8" w:name="_Toc24238_WPSOffice_Level2"/>
      <w:bookmarkStart w:id="9" w:name="_Toc14159_WPSOffice_Level2"/>
      <w:bookmarkStart w:id="10" w:name="_Toc20205_WPSOffice_Level2"/>
      <w:bookmarkStart w:id="11" w:name="_Toc32622_WPSOffice_Level2"/>
      <w:bookmarkStart w:id="12" w:name="_Toc26580_WPSOffice_Level2"/>
      <w:bookmarkStart w:id="13" w:name="_Toc20274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74E7750C">
      <w:pPr>
        <w:spacing w:before="100" w:beforeAutospacing="0" w:after="100" w:afterAutospacing="0" w:line="560" w:lineRule="exact"/>
        <w:ind w:firstLine="320" w:firstLineChars="100"/>
        <w:rPr>
          <w:rFonts w:hint="eastAsia" w:ascii="仿宋_GB2312" w:hAnsi="ˎ̥" w:eastAsia="仿宋_GB2312" w:cs="Times New Roman"/>
          <w:color w:val="000000"/>
          <w:sz w:val="32"/>
          <w:szCs w:val="32"/>
          <w:highlight w:val="none"/>
          <w:lang w:val="en-US"/>
        </w:rPr>
      </w:pPr>
      <w:r>
        <w:rPr>
          <w:rFonts w:hint="eastAsia" w:ascii="黑体" w:hAnsi="黑体" w:eastAsia="黑体" w:cs="黑体"/>
          <w:sz w:val="32"/>
          <w:szCs w:val="32"/>
          <w:lang w:val="en-US" w:eastAsia="zh-CN"/>
        </w:rPr>
        <w:t xml:space="preserve">  </w:t>
      </w:r>
      <w:r>
        <w:rPr>
          <w:rFonts w:hint="eastAsia" w:ascii="仿宋_GB2312" w:hAnsi="ˎ̥" w:eastAsia="仿宋_GB2312" w:cs="Times New Roman"/>
          <w:color w:val="000000"/>
          <w:sz w:val="32"/>
          <w:szCs w:val="32"/>
          <w:highlight w:val="none"/>
          <w:lang w:eastAsia="zh-CN"/>
        </w:rPr>
        <w:t>海南会山省级自然保护区管理站的保护对象为海南中部山区东北区热带雨林生态系统及其生物多样性，属“自然生态系统类”的“森林生态系统类型”自然保护区。</w:t>
      </w:r>
      <w:r>
        <w:rPr>
          <w:rFonts w:hint="eastAsia" w:ascii="仿宋_GB2312" w:hAnsi="ˎ̥" w:eastAsia="仿宋_GB2312" w:cs="Times New Roman"/>
          <w:color w:val="000000"/>
          <w:sz w:val="32"/>
          <w:szCs w:val="32"/>
          <w:highlight w:val="none"/>
          <w:lang w:val="en-US"/>
        </w:rPr>
        <w:t>2021</w:t>
      </w:r>
      <w:r>
        <w:rPr>
          <w:rFonts w:hint="eastAsia" w:ascii="仿宋_GB2312" w:hAnsi="ˎ̥" w:eastAsia="仿宋_GB2312" w:cs="Times New Roman"/>
          <w:color w:val="000000"/>
          <w:sz w:val="32"/>
          <w:szCs w:val="32"/>
          <w:highlight w:val="none"/>
          <w:lang w:eastAsia="zh-CN"/>
        </w:rPr>
        <w:t>年</w:t>
      </w:r>
      <w:r>
        <w:rPr>
          <w:rFonts w:hint="eastAsia" w:ascii="仿宋_GB2312" w:hAnsi="ˎ̥" w:eastAsia="仿宋_GB2312" w:cs="Times New Roman"/>
          <w:color w:val="000000"/>
          <w:sz w:val="32"/>
          <w:szCs w:val="32"/>
          <w:highlight w:val="none"/>
          <w:lang w:val="en-US"/>
        </w:rPr>
        <w:t>8</w:t>
      </w:r>
      <w:r>
        <w:rPr>
          <w:rFonts w:hint="eastAsia" w:ascii="仿宋_GB2312" w:hAnsi="ˎ̥" w:eastAsia="仿宋_GB2312" w:cs="Times New Roman"/>
          <w:color w:val="000000"/>
          <w:sz w:val="32"/>
          <w:szCs w:val="32"/>
          <w:highlight w:val="none"/>
          <w:lang w:eastAsia="zh-CN"/>
        </w:rPr>
        <w:t>月</w:t>
      </w:r>
      <w:r>
        <w:rPr>
          <w:rFonts w:hint="eastAsia" w:ascii="仿宋_GB2312" w:hAnsi="ˎ̥" w:eastAsia="仿宋_GB2312" w:cs="Times New Roman"/>
          <w:color w:val="000000"/>
          <w:sz w:val="32"/>
          <w:szCs w:val="32"/>
          <w:highlight w:val="none"/>
          <w:lang w:val="en-US"/>
        </w:rPr>
        <w:t>30</w:t>
      </w:r>
      <w:r>
        <w:rPr>
          <w:rFonts w:hint="eastAsia" w:ascii="仿宋_GB2312" w:hAnsi="ˎ̥" w:eastAsia="仿宋_GB2312" w:cs="Times New Roman"/>
          <w:color w:val="000000"/>
          <w:sz w:val="32"/>
          <w:szCs w:val="32"/>
          <w:highlight w:val="none"/>
          <w:lang w:eastAsia="zh-CN"/>
        </w:rPr>
        <w:t>日，经海南省人民政府批准，海南会山省级自然保护区总面积</w:t>
      </w:r>
      <w:r>
        <w:rPr>
          <w:rFonts w:hint="eastAsia" w:ascii="仿宋_GB2312" w:hAnsi="ˎ̥" w:eastAsia="仿宋_GB2312" w:cs="Times New Roman"/>
          <w:color w:val="000000"/>
          <w:sz w:val="32"/>
          <w:szCs w:val="32"/>
          <w:highlight w:val="none"/>
          <w:lang w:val="en-US"/>
        </w:rPr>
        <w:t>81536.55</w:t>
      </w:r>
      <w:r>
        <w:rPr>
          <w:rFonts w:hint="eastAsia" w:ascii="仿宋_GB2312" w:hAnsi="ˎ̥" w:eastAsia="仿宋_GB2312" w:cs="Times New Roman"/>
          <w:color w:val="000000"/>
          <w:sz w:val="32"/>
          <w:szCs w:val="32"/>
          <w:highlight w:val="none"/>
          <w:lang w:eastAsia="zh-CN"/>
        </w:rPr>
        <w:t>亩，其中核心区面积</w:t>
      </w:r>
      <w:r>
        <w:rPr>
          <w:rFonts w:hint="eastAsia" w:ascii="仿宋_GB2312" w:hAnsi="ˎ̥" w:eastAsia="仿宋_GB2312" w:cs="Times New Roman"/>
          <w:color w:val="000000"/>
          <w:sz w:val="32"/>
          <w:szCs w:val="32"/>
          <w:highlight w:val="none"/>
          <w:lang w:val="en-US"/>
        </w:rPr>
        <w:t>24865.65</w:t>
      </w:r>
      <w:r>
        <w:rPr>
          <w:rFonts w:hint="eastAsia" w:ascii="仿宋_GB2312" w:hAnsi="ˎ̥" w:eastAsia="仿宋_GB2312" w:cs="Times New Roman"/>
          <w:color w:val="000000"/>
          <w:sz w:val="32"/>
          <w:szCs w:val="32"/>
          <w:highlight w:val="none"/>
          <w:lang w:eastAsia="zh-CN"/>
        </w:rPr>
        <w:t>亩，缓冲区面积</w:t>
      </w:r>
      <w:r>
        <w:rPr>
          <w:rFonts w:hint="eastAsia" w:ascii="仿宋_GB2312" w:hAnsi="ˎ̥" w:eastAsia="仿宋_GB2312" w:cs="Times New Roman"/>
          <w:color w:val="000000"/>
          <w:sz w:val="32"/>
          <w:szCs w:val="32"/>
          <w:highlight w:val="none"/>
          <w:lang w:val="en-US"/>
        </w:rPr>
        <w:t>16538.85</w:t>
      </w:r>
      <w:r>
        <w:rPr>
          <w:rFonts w:hint="eastAsia" w:ascii="仿宋_GB2312" w:hAnsi="ˎ̥" w:eastAsia="仿宋_GB2312" w:cs="Times New Roman"/>
          <w:color w:val="000000"/>
          <w:sz w:val="32"/>
          <w:szCs w:val="32"/>
          <w:highlight w:val="none"/>
          <w:lang w:eastAsia="zh-CN"/>
        </w:rPr>
        <w:t>亩，实验区面积</w:t>
      </w:r>
      <w:r>
        <w:rPr>
          <w:rFonts w:hint="eastAsia" w:ascii="仿宋_GB2312" w:hAnsi="ˎ̥" w:eastAsia="仿宋_GB2312" w:cs="Times New Roman"/>
          <w:color w:val="000000"/>
          <w:sz w:val="32"/>
          <w:szCs w:val="32"/>
          <w:highlight w:val="none"/>
          <w:lang w:val="en-US"/>
        </w:rPr>
        <w:t>40132.05</w:t>
      </w:r>
      <w:r>
        <w:rPr>
          <w:rFonts w:hint="eastAsia" w:ascii="仿宋_GB2312" w:hAnsi="ˎ̥" w:eastAsia="仿宋_GB2312" w:cs="Times New Roman"/>
          <w:color w:val="000000"/>
          <w:sz w:val="32"/>
          <w:szCs w:val="32"/>
          <w:highlight w:val="none"/>
          <w:lang w:eastAsia="zh-CN"/>
        </w:rPr>
        <w:t>亩。保护区地跨琼海市</w:t>
      </w:r>
      <w:r>
        <w:rPr>
          <w:rFonts w:hint="eastAsia" w:ascii="仿宋_GB2312" w:hAnsi="ˎ̥" w:eastAsia="仿宋_GB2312" w:cs="Times New Roman"/>
          <w:color w:val="000000"/>
          <w:sz w:val="32"/>
          <w:szCs w:val="32"/>
          <w:highlight w:val="none"/>
          <w:lang w:val="en-US"/>
        </w:rPr>
        <w:t>(</w:t>
      </w:r>
      <w:r>
        <w:rPr>
          <w:rFonts w:hint="eastAsia" w:ascii="仿宋_GB2312" w:hAnsi="ˎ̥" w:eastAsia="仿宋_GB2312" w:cs="Times New Roman"/>
          <w:color w:val="000000"/>
          <w:sz w:val="32"/>
          <w:szCs w:val="32"/>
          <w:highlight w:val="none"/>
          <w:lang w:eastAsia="zh-CN"/>
        </w:rPr>
        <w:t>境内</w:t>
      </w:r>
      <w:r>
        <w:rPr>
          <w:rFonts w:hint="eastAsia" w:ascii="仿宋_GB2312" w:hAnsi="ˎ̥" w:eastAsia="仿宋_GB2312" w:cs="Times New Roman"/>
          <w:color w:val="000000"/>
          <w:sz w:val="32"/>
          <w:szCs w:val="32"/>
          <w:highlight w:val="none"/>
          <w:lang w:val="en-US"/>
        </w:rPr>
        <w:t>61517.70</w:t>
      </w:r>
      <w:r>
        <w:rPr>
          <w:rFonts w:hint="eastAsia" w:ascii="仿宋_GB2312" w:hAnsi="ˎ̥" w:eastAsia="仿宋_GB2312" w:cs="Times New Roman"/>
          <w:color w:val="000000"/>
          <w:sz w:val="32"/>
          <w:szCs w:val="32"/>
          <w:highlight w:val="none"/>
          <w:lang w:eastAsia="zh-CN"/>
        </w:rPr>
        <w:t>亩</w:t>
      </w:r>
      <w:r>
        <w:rPr>
          <w:rFonts w:hint="eastAsia" w:ascii="仿宋_GB2312" w:hAnsi="ˎ̥" w:eastAsia="仿宋_GB2312" w:cs="Times New Roman"/>
          <w:color w:val="000000"/>
          <w:sz w:val="32"/>
          <w:szCs w:val="32"/>
          <w:highlight w:val="none"/>
          <w:lang w:val="en-US"/>
        </w:rPr>
        <w:t>)</w:t>
      </w:r>
      <w:r>
        <w:rPr>
          <w:rFonts w:hint="eastAsia" w:ascii="仿宋_GB2312" w:hAnsi="ˎ̥" w:eastAsia="仿宋_GB2312" w:cs="Times New Roman"/>
          <w:color w:val="000000"/>
          <w:sz w:val="32"/>
          <w:szCs w:val="32"/>
          <w:highlight w:val="none"/>
          <w:lang w:eastAsia="zh-CN"/>
        </w:rPr>
        <w:t>和琼中黎族苗族自治县</w:t>
      </w:r>
      <w:r>
        <w:rPr>
          <w:rFonts w:hint="eastAsia" w:ascii="仿宋_GB2312" w:hAnsi="ˎ̥" w:eastAsia="仿宋_GB2312" w:cs="Times New Roman"/>
          <w:color w:val="000000"/>
          <w:sz w:val="32"/>
          <w:szCs w:val="32"/>
          <w:highlight w:val="none"/>
          <w:lang w:val="en-US"/>
        </w:rPr>
        <w:t>(</w:t>
      </w:r>
      <w:r>
        <w:rPr>
          <w:rFonts w:hint="eastAsia" w:ascii="仿宋_GB2312" w:hAnsi="ˎ̥" w:eastAsia="仿宋_GB2312" w:cs="Times New Roman"/>
          <w:color w:val="000000"/>
          <w:sz w:val="32"/>
          <w:szCs w:val="32"/>
          <w:highlight w:val="none"/>
          <w:lang w:eastAsia="zh-CN"/>
        </w:rPr>
        <w:t>境内</w:t>
      </w:r>
      <w:r>
        <w:rPr>
          <w:rFonts w:hint="eastAsia" w:ascii="仿宋_GB2312" w:hAnsi="ˎ̥" w:eastAsia="仿宋_GB2312" w:cs="Times New Roman"/>
          <w:color w:val="000000"/>
          <w:sz w:val="32"/>
          <w:szCs w:val="32"/>
          <w:highlight w:val="none"/>
          <w:lang w:val="en-US"/>
        </w:rPr>
        <w:t>20018.85</w:t>
      </w:r>
      <w:r>
        <w:rPr>
          <w:rFonts w:hint="eastAsia" w:ascii="仿宋_GB2312" w:hAnsi="ˎ̥" w:eastAsia="仿宋_GB2312" w:cs="Times New Roman"/>
          <w:color w:val="000000"/>
          <w:sz w:val="32"/>
          <w:szCs w:val="32"/>
          <w:highlight w:val="none"/>
          <w:lang w:eastAsia="zh-CN"/>
        </w:rPr>
        <w:t>亩</w:t>
      </w:r>
      <w:r>
        <w:rPr>
          <w:rFonts w:hint="eastAsia" w:ascii="仿宋_GB2312" w:hAnsi="ˎ̥" w:eastAsia="仿宋_GB2312" w:cs="Times New Roman"/>
          <w:color w:val="000000"/>
          <w:sz w:val="32"/>
          <w:szCs w:val="32"/>
          <w:highlight w:val="none"/>
          <w:lang w:val="en-US"/>
        </w:rPr>
        <w:t>)</w:t>
      </w:r>
      <w:r>
        <w:rPr>
          <w:rFonts w:hint="eastAsia" w:ascii="仿宋_GB2312" w:hAnsi="ˎ̥" w:eastAsia="仿宋_GB2312" w:cs="Times New Roman"/>
          <w:color w:val="000000"/>
          <w:sz w:val="32"/>
          <w:szCs w:val="32"/>
          <w:highlight w:val="none"/>
          <w:lang w:eastAsia="zh-CN"/>
        </w:rPr>
        <w:t>。</w:t>
      </w:r>
    </w:p>
    <w:p w14:paraId="4EE7871B">
      <w:pPr>
        <w:numPr>
          <w:ilvl w:val="0"/>
          <w:numId w:val="0"/>
        </w:numPr>
        <w:spacing w:line="578" w:lineRule="exact"/>
        <w:ind w:firstLine="640" w:firstLineChars="200"/>
        <w:rPr>
          <w:rFonts w:hint="default" w:ascii="黑体" w:hAnsi="黑体" w:eastAsia="黑体" w:cs="黑体"/>
          <w:sz w:val="32"/>
          <w:szCs w:val="32"/>
          <w:lang w:val="en-US" w:eastAsia="zh-CN"/>
        </w:rPr>
      </w:pPr>
      <w:r>
        <w:rPr>
          <w:rFonts w:hint="eastAsia" w:ascii="仿宋_GB2312" w:hAnsi="ˎ̥" w:eastAsia="仿宋_GB2312" w:cs="Times New Roman"/>
          <w:color w:val="000000"/>
          <w:sz w:val="32"/>
          <w:szCs w:val="32"/>
          <w:highlight w:val="none"/>
          <w:lang w:eastAsia="zh-CN"/>
        </w:rPr>
        <w:t>海南会山省级自然保护区管理站根据工作需要设置相应的职能机构：办公室、财务室、资源管理室、宣传宣教室，并下设三个护林防火分站：牛路护林防火站、加略护林防火站和官寮坡护林防火站，对保护区进行日常巡护。我站认真贯彻执行《中华人民共和国自然保护区条例》、《海南省自然保护区条例》等法律法规，按照《海南省重点公益林专职护林员管理办法》，每年与</w:t>
      </w:r>
      <w:r>
        <w:rPr>
          <w:rFonts w:hint="eastAsia" w:ascii="仿宋_GB2312" w:hAnsi="ˎ̥" w:eastAsia="仿宋_GB2312" w:cs="Times New Roman"/>
          <w:color w:val="000000"/>
          <w:sz w:val="32"/>
          <w:szCs w:val="32"/>
          <w:highlight w:val="none"/>
          <w:lang w:val="en-US"/>
        </w:rPr>
        <w:t>3</w:t>
      </w:r>
      <w:r>
        <w:rPr>
          <w:rFonts w:hint="eastAsia" w:ascii="仿宋_GB2312" w:hAnsi="ˎ̥" w:eastAsia="仿宋_GB2312" w:cs="Times New Roman"/>
          <w:color w:val="000000"/>
          <w:sz w:val="32"/>
          <w:szCs w:val="32"/>
          <w:highlight w:val="none"/>
          <w:lang w:eastAsia="zh-CN"/>
        </w:rPr>
        <w:t>名管理人员，</w:t>
      </w:r>
      <w:r>
        <w:rPr>
          <w:rFonts w:hint="eastAsia" w:ascii="仿宋_GB2312" w:hAnsi="ˎ̥" w:eastAsia="仿宋_GB2312" w:cs="Times New Roman"/>
          <w:color w:val="000000"/>
          <w:sz w:val="32"/>
          <w:szCs w:val="32"/>
          <w:highlight w:val="none"/>
          <w:lang w:val="en-US" w:eastAsia="zh-CN"/>
        </w:rPr>
        <w:t>2</w:t>
      </w:r>
      <w:r>
        <w:rPr>
          <w:rFonts w:hint="eastAsia" w:ascii="仿宋_GB2312" w:hAnsi="ˎ̥" w:eastAsia="仿宋_GB2312" w:cs="Times New Roman"/>
          <w:color w:val="000000"/>
          <w:sz w:val="32"/>
          <w:szCs w:val="32"/>
          <w:highlight w:val="none"/>
          <w:lang w:eastAsia="zh-CN"/>
        </w:rPr>
        <w:t>名技术人员和</w:t>
      </w:r>
      <w:r>
        <w:rPr>
          <w:rFonts w:hint="eastAsia" w:ascii="仿宋_GB2312" w:hAnsi="ˎ̥" w:eastAsia="仿宋_GB2312" w:cs="Times New Roman"/>
          <w:color w:val="000000"/>
          <w:sz w:val="32"/>
          <w:szCs w:val="32"/>
          <w:highlight w:val="none"/>
          <w:lang w:val="en-US"/>
        </w:rPr>
        <w:t>1</w:t>
      </w:r>
      <w:r>
        <w:rPr>
          <w:rFonts w:hint="eastAsia" w:ascii="仿宋_GB2312" w:hAnsi="ˎ̥" w:eastAsia="仿宋_GB2312" w:cs="Times New Roman"/>
          <w:color w:val="000000"/>
          <w:sz w:val="32"/>
          <w:szCs w:val="32"/>
          <w:highlight w:val="none"/>
          <w:lang w:val="en-US" w:eastAsia="zh-CN"/>
        </w:rPr>
        <w:t>7</w:t>
      </w:r>
      <w:r>
        <w:rPr>
          <w:rFonts w:hint="eastAsia" w:ascii="仿宋_GB2312" w:hAnsi="ˎ̥" w:eastAsia="仿宋_GB2312" w:cs="Times New Roman"/>
          <w:color w:val="000000"/>
          <w:sz w:val="32"/>
          <w:szCs w:val="32"/>
          <w:highlight w:val="none"/>
          <w:lang w:eastAsia="zh-CN"/>
        </w:rPr>
        <w:t>名专职护林员签订年度《重点公益林管护合同》，定面积、定山头、定责任、定任务、定薪酬，明确各管护人员的责任区域、工作职责和工作目标，每月不少于</w:t>
      </w:r>
      <w:r>
        <w:rPr>
          <w:rFonts w:hint="eastAsia" w:ascii="仿宋_GB2312" w:hAnsi="ˎ̥" w:eastAsia="仿宋_GB2312" w:cs="Times New Roman"/>
          <w:color w:val="000000"/>
          <w:sz w:val="32"/>
          <w:szCs w:val="32"/>
          <w:highlight w:val="none"/>
          <w:lang w:val="en-US"/>
        </w:rPr>
        <w:t>22</w:t>
      </w:r>
      <w:r>
        <w:rPr>
          <w:rFonts w:hint="eastAsia" w:ascii="仿宋_GB2312" w:hAnsi="ˎ̥" w:eastAsia="仿宋_GB2312" w:cs="Times New Roman"/>
          <w:color w:val="000000"/>
          <w:sz w:val="32"/>
          <w:szCs w:val="32"/>
          <w:highlight w:val="none"/>
          <w:lang w:eastAsia="zh-CN"/>
        </w:rPr>
        <w:t>天巡护本管护责任区山林：发现非法捕猎、滥砍乱伐、私搭乱建等破坏热带雨林生态资源的各类违法行为，立即现场核实调查并报告主管领导、分管领导，并配合其他职能部门加大力度打击各类违法行为；广泛开展林业法律法规宣传，引导保护区周边村民有效保护热带雨林生态资源，制止各类违法犯罪行为的发生，为保护热带雨林生态资源营造良好的社会氛围，防止新增破坏保护区热带雨林生态资源的违法行为；加大日常巡护和法律法规宣讲，防止森林火灾事故的发生；同时积极开展疫源疫病的监测工作，发现有疫病疫源及时上报。</w:t>
      </w:r>
    </w:p>
    <w:p w14:paraId="0680DACE">
      <w:pPr>
        <w:spacing w:line="578" w:lineRule="exact"/>
        <w:ind w:firstLine="640" w:firstLineChars="200"/>
        <w:rPr>
          <w:rFonts w:hint="eastAsia" w:ascii="黑体" w:hAnsi="黑体" w:eastAsia="黑体" w:cs="黑体"/>
          <w:sz w:val="32"/>
          <w:szCs w:val="32"/>
        </w:rPr>
      </w:pPr>
      <w:bookmarkStart w:id="14" w:name="_Toc24474_WPSOffice_Level2"/>
      <w:bookmarkStart w:id="15" w:name="_Toc6572_WPSOffice_Level2"/>
      <w:bookmarkStart w:id="16" w:name="_Toc4833_WPSOffice_Level2"/>
      <w:bookmarkStart w:id="17" w:name="_Toc24059_WPSOffice_Level2"/>
      <w:bookmarkStart w:id="18" w:name="_Toc17796_WPSOffice_Level2"/>
      <w:r>
        <w:rPr>
          <w:rFonts w:hint="eastAsia" w:ascii="黑体" w:hAnsi="黑体" w:eastAsia="黑体" w:cs="黑体"/>
          <w:sz w:val="32"/>
          <w:szCs w:val="32"/>
        </w:rPr>
        <w:t>二、机构设置</w:t>
      </w:r>
      <w:bookmarkEnd w:id="14"/>
      <w:bookmarkEnd w:id="15"/>
      <w:bookmarkEnd w:id="16"/>
      <w:bookmarkEnd w:id="17"/>
      <w:bookmarkEnd w:id="18"/>
    </w:p>
    <w:p w14:paraId="7677B3AA">
      <w:pPr>
        <w:ind w:left="0" w:firstLine="640" w:firstLineChars="200"/>
        <w:rPr>
          <w:rFonts w:hint="eastAsia" w:ascii="仿宋_GB2312" w:hAnsi="ˎ̥" w:eastAsia="仿宋_GB2312" w:cs="Times New Roman"/>
          <w:color w:val="auto"/>
          <w:sz w:val="32"/>
          <w:szCs w:val="32"/>
          <w:lang w:val="en-US" w:eastAsia="zh-CN"/>
        </w:rPr>
      </w:pPr>
      <w:bookmarkStart w:id="19" w:name="_Toc24421_WPSOffice_Level2"/>
      <w:bookmarkStart w:id="20" w:name="_Toc25738_WPSOffice_Level2"/>
      <w:r>
        <w:rPr>
          <w:rFonts w:hint="eastAsia" w:ascii="仿宋_GB2312" w:hAnsi="ˎ̥" w:eastAsia="仿宋_GB2312"/>
          <w:sz w:val="32"/>
          <w:szCs w:val="32"/>
        </w:rPr>
        <w:t>纳入</w:t>
      </w:r>
      <w:r>
        <w:rPr>
          <w:rFonts w:hint="eastAsia" w:ascii="仿宋_GB2312" w:hAnsi="ˎ̥" w:eastAsia="仿宋_GB2312"/>
          <w:color w:val="auto"/>
          <w:sz w:val="32"/>
          <w:szCs w:val="32"/>
          <w:lang w:val="en-US" w:eastAsia="zh-CN"/>
        </w:rPr>
        <w:t>海南会山省级自然保护区管理站</w:t>
      </w:r>
      <w:r>
        <w:rPr>
          <w:rFonts w:hint="eastAsia" w:ascii="仿宋_GB2312" w:hAnsi="ˎ̥" w:eastAsia="仿宋_GB2312"/>
          <w:color w:val="auto"/>
          <w:sz w:val="32"/>
          <w:szCs w:val="32"/>
        </w:rPr>
        <w:t>202</w:t>
      </w:r>
      <w:r>
        <w:rPr>
          <w:rFonts w:ascii="仿宋_GB2312" w:hAnsi="ˎ̥" w:eastAsia="仿宋_GB2312"/>
          <w:sz w:val="32"/>
          <w:szCs w:val="32"/>
        </w:rPr>
        <w:t>3</w:t>
      </w:r>
      <w:r>
        <w:rPr>
          <w:rFonts w:hint="eastAsia" w:ascii="仿宋_GB2312" w:hAnsi="ˎ̥" w:eastAsia="仿宋_GB2312"/>
          <w:sz w:val="32"/>
          <w:szCs w:val="32"/>
        </w:rPr>
        <w:t>年度部门决算编制范围的</w:t>
      </w:r>
      <w:r>
        <w:rPr>
          <w:rFonts w:hint="eastAsia" w:ascii="仿宋_GB2312" w:hAnsi="ˎ̥" w:eastAsia="仿宋_GB2312"/>
          <w:sz w:val="32"/>
          <w:szCs w:val="32"/>
          <w:lang w:val="en-US" w:eastAsia="zh-CN"/>
        </w:rPr>
        <w:t>内设机构</w:t>
      </w:r>
      <w:r>
        <w:rPr>
          <w:rFonts w:hint="eastAsia" w:ascii="仿宋_GB2312" w:hAnsi="ˎ̥" w:eastAsia="仿宋_GB2312"/>
          <w:color w:val="auto"/>
          <w:sz w:val="32"/>
          <w:szCs w:val="32"/>
          <w:lang w:val="en-US" w:eastAsia="zh-CN"/>
        </w:rPr>
        <w:t>有4</w:t>
      </w:r>
      <w:r>
        <w:rPr>
          <w:rFonts w:hint="eastAsia" w:ascii="仿宋_GB2312" w:hAnsi="ˎ̥" w:eastAsia="仿宋_GB2312"/>
          <w:color w:val="auto"/>
          <w:sz w:val="32"/>
          <w:szCs w:val="32"/>
        </w:rPr>
        <w:t>个，</w:t>
      </w:r>
      <w:r>
        <w:rPr>
          <w:rFonts w:hint="eastAsia" w:ascii="仿宋_GB2312" w:hAnsi="ˎ̥" w:eastAsia="仿宋_GB2312"/>
          <w:sz w:val="32"/>
          <w:szCs w:val="32"/>
        </w:rPr>
        <w:t>包括</w:t>
      </w:r>
      <w:r>
        <w:rPr>
          <w:rFonts w:hint="eastAsia" w:ascii="仿宋_GB2312" w:hAnsi="ˎ̥" w:eastAsia="仿宋_GB2312" w:cs="Times New Roman"/>
          <w:color w:val="auto"/>
          <w:sz w:val="32"/>
          <w:szCs w:val="32"/>
          <w:lang w:val="en-US" w:eastAsia="zh-CN"/>
        </w:rPr>
        <w:t>：一、办公室：办公室负责管理站会议组织、文电处理、文书档案管理、督察督办、组织人事等日常运转工作。二、财务室：财务室负责账务管理、单位预算申报与执行、配合办公室对国有资产管理、政府采购等相关工作。三、资源管理室：承担自然保护地管理与保护、森林防灭火工作、林业普法宣传的管理工作；疫源疫病的监测工作；配合相关部门落实整改工作；负责牛路岭分站、加略分站、官寮坡分站的日常管理工作。四、宣传宣教室：负责森林防灭火、社区林业普法的宣传工作，协助资源管理室的相关工作。</w:t>
      </w:r>
    </w:p>
    <w:bookmarkEnd w:id="19"/>
    <w:bookmarkEnd w:id="20"/>
    <w:p w14:paraId="149848AF">
      <w:pPr>
        <w:spacing w:line="578" w:lineRule="exact"/>
        <w:jc w:val="center"/>
        <w:rPr>
          <w:rFonts w:hint="eastAsia" w:ascii="黑体" w:hAnsi="ˎ̥" w:eastAsia="黑体"/>
          <w:sz w:val="32"/>
          <w:szCs w:val="32"/>
        </w:rPr>
      </w:pPr>
      <w:bookmarkStart w:id="21" w:name="_Toc6234_WPSOffice_Level1"/>
      <w:bookmarkStart w:id="22" w:name="_Toc30451_WPSOffice_Level1"/>
      <w:bookmarkStart w:id="23" w:name="_Toc8164_WPSOffice_Level1"/>
      <w:bookmarkStart w:id="24" w:name="_Toc30690_WPSOffice_Level1"/>
      <w:bookmarkStart w:id="25" w:name="_Toc15521_WPSOffice_Level1"/>
      <w:bookmarkStart w:id="26" w:name="_Toc28253_WPSOffice_Level1"/>
      <w:bookmarkStart w:id="27" w:name="_Toc6211_WPSOffice_Level2"/>
      <w:bookmarkStart w:id="28" w:name="_Toc8867_WPSOffice_Level2"/>
      <w:bookmarkStart w:id="29" w:name="_Toc11518_WPSOffice_Level2"/>
      <w:bookmarkStart w:id="30" w:name="_Toc32695_WPSOffice_Level2"/>
      <w:bookmarkStart w:id="31" w:name="_Toc4029_WPSOffice_Level2"/>
      <w:bookmarkStart w:id="32" w:name="_Toc32472_WPSOffice_Level2"/>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1"/>
      <w:bookmarkEnd w:id="22"/>
      <w:bookmarkEnd w:id="23"/>
      <w:bookmarkEnd w:id="24"/>
      <w:bookmarkEnd w:id="25"/>
      <w:bookmarkEnd w:id="26"/>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7"/>
      <w:bookmarkEnd w:id="28"/>
      <w:bookmarkEnd w:id="29"/>
      <w:bookmarkEnd w:id="30"/>
      <w:bookmarkEnd w:id="31"/>
      <w:bookmarkEnd w:id="32"/>
    </w:p>
    <w:p w14:paraId="646AEC68">
      <w:pPr>
        <w:spacing w:line="578" w:lineRule="exact"/>
        <w:ind w:firstLine="645"/>
        <w:rPr>
          <w:rFonts w:hint="eastAsia" w:ascii="黑体" w:hAnsi="黑体" w:eastAsia="黑体" w:cs="黑体"/>
          <w:sz w:val="32"/>
          <w:szCs w:val="32"/>
        </w:rPr>
      </w:pPr>
      <w:bookmarkStart w:id="33" w:name="_Toc28622_WPSOffice_Level2"/>
      <w:bookmarkStart w:id="34" w:name="_Toc14349_WPSOffice_Level2"/>
      <w:bookmarkStart w:id="35" w:name="_Toc26621_WPSOffice_Level2"/>
      <w:bookmarkStart w:id="36" w:name="_Toc25608_WPSOffice_Level2"/>
      <w:bookmarkStart w:id="37" w:name="_Toc30334_WPSOffice_Level2"/>
      <w:bookmarkStart w:id="38" w:name="_Toc2313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5489_WPSOffice_Level2"/>
      <w:bookmarkStart w:id="40" w:name="_Toc3262_WPSOffice_Level2"/>
      <w:bookmarkStart w:id="41" w:name="_Toc13854_WPSOffice_Level2"/>
      <w:bookmarkStart w:id="42" w:name="_Toc14658_WPSOffice_Level2"/>
      <w:bookmarkStart w:id="43" w:name="_Toc17626_WPSOffice_Level2"/>
      <w:bookmarkStart w:id="44" w:name="_Toc178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7988_WPSOffice_Level2"/>
      <w:bookmarkStart w:id="46" w:name="_Toc13701_WPSOffice_Level2"/>
      <w:bookmarkStart w:id="47" w:name="_Toc23591_WPSOffice_Level2"/>
      <w:bookmarkStart w:id="48" w:name="_Toc21415_WPSOffice_Level2"/>
      <w:bookmarkStart w:id="49" w:name="_Toc4265_WPSOffice_Level2"/>
      <w:bookmarkStart w:id="50" w:name="_Toc23493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1CA1AAB7">
      <w:pPr>
        <w:spacing w:line="578" w:lineRule="exact"/>
        <w:ind w:firstLine="645"/>
        <w:rPr>
          <w:rFonts w:hint="eastAsia" w:ascii="黑体" w:hAnsi="黑体" w:eastAsia="黑体" w:cs="黑体"/>
          <w:sz w:val="32"/>
          <w:szCs w:val="32"/>
        </w:rPr>
      </w:pPr>
      <w:bookmarkStart w:id="51" w:name="_Toc23829_WPSOffice_Level2"/>
      <w:bookmarkStart w:id="52" w:name="_Toc22783_WPSOffice_Level2"/>
      <w:bookmarkStart w:id="53" w:name="_Toc25166_WPSOffice_Level2"/>
      <w:bookmarkStart w:id="54" w:name="_Toc7879_WPSOffice_Level2"/>
      <w:bookmarkStart w:id="55" w:name="_Toc13516_WPSOffice_Level2"/>
      <w:bookmarkStart w:id="56" w:name="_Toc2158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5343_WPSOffice_Level2"/>
      <w:bookmarkStart w:id="58" w:name="_Toc8373_WPSOffice_Level2"/>
      <w:bookmarkStart w:id="59" w:name="_Toc25362_WPSOffice_Level2"/>
      <w:bookmarkStart w:id="60" w:name="_Toc17283_WPSOffice_Level2"/>
      <w:bookmarkStart w:id="61" w:name="_Toc17833_WPSOffice_Level2"/>
      <w:bookmarkStart w:id="62" w:name="_Toc2632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3" w:name="_Toc13345_WPSOffice_Level2"/>
      <w:bookmarkStart w:id="64" w:name="_Toc6020_WPSOffice_Level2"/>
      <w:bookmarkStart w:id="65" w:name="_Toc21310_WPSOffice_Level2"/>
      <w:bookmarkStart w:id="66" w:name="_Toc1533_WPSOffice_Level2"/>
      <w:bookmarkStart w:id="67" w:name="_Toc5594_WPSOffice_Level2"/>
      <w:bookmarkStart w:id="68" w:name="_Toc11799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9" w:name="_Toc9377_WPSOffice_Level2"/>
      <w:bookmarkStart w:id="70" w:name="_Toc29886_WPSOffice_Level2"/>
      <w:bookmarkStart w:id="71" w:name="_Toc1820_WPSOffice_Level2"/>
      <w:bookmarkStart w:id="72" w:name="_Toc19961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3" w:name="_Toc29683_WPSOffice_Level1"/>
      <w:bookmarkStart w:id="74" w:name="_Toc16686_WPSOffice_Level1"/>
      <w:bookmarkStart w:id="75" w:name="_Toc4402_WPSOffice_Level1"/>
      <w:bookmarkStart w:id="76" w:name="_Toc31264_WPSOffice_Level1"/>
      <w:bookmarkStart w:id="77" w:name="_Toc28629_WPSOffice_Level1"/>
      <w:bookmarkStart w:id="78" w:name="_Toc27590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auto"/>
          <w:sz w:val="32"/>
          <w:szCs w:val="32"/>
          <w:lang w:val="en-US"/>
        </w:rPr>
        <w:t>428.37</w:t>
      </w:r>
      <w:r>
        <w:rPr>
          <w:rFonts w:hint="eastAsia" w:ascii="仿宋_GB2312" w:hAnsi="ˎ̥" w:eastAsia="仿宋_GB2312"/>
          <w:sz w:val="32"/>
          <w:szCs w:val="32"/>
        </w:rPr>
        <w:t>万元，支出总计</w:t>
      </w:r>
      <w:r>
        <w:rPr>
          <w:rFonts w:hint="default" w:ascii="仿宋_GB2312" w:hAnsi="ˎ̥" w:eastAsia="仿宋_GB2312"/>
          <w:color w:val="auto"/>
          <w:sz w:val="32"/>
          <w:szCs w:val="32"/>
          <w:lang w:val="en-US"/>
        </w:rPr>
        <w:t>428.37</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年度相比，收入、支出总计各减少</w:t>
      </w:r>
      <w:r>
        <w:rPr>
          <w:rFonts w:hint="eastAsia" w:ascii="仿宋_GB2312" w:hAnsi="ˎ̥" w:eastAsia="仿宋_GB2312"/>
          <w:color w:val="auto"/>
          <w:sz w:val="32"/>
          <w:szCs w:val="32"/>
          <w:lang w:val="en-US" w:eastAsia="zh-CN"/>
        </w:rPr>
        <w:t>3.38</w:t>
      </w:r>
      <w:r>
        <w:rPr>
          <w:rFonts w:hint="eastAsia" w:ascii="仿宋_GB2312" w:hAnsi="ˎ̥" w:eastAsia="仿宋_GB2312"/>
          <w:sz w:val="32"/>
          <w:szCs w:val="32"/>
        </w:rPr>
        <w:t>万元，下降</w:t>
      </w:r>
      <w:r>
        <w:rPr>
          <w:rFonts w:hint="eastAsia" w:ascii="仿宋_GB2312" w:hAnsi="ˎ̥" w:eastAsia="仿宋_GB2312"/>
          <w:color w:val="auto"/>
          <w:sz w:val="32"/>
          <w:szCs w:val="32"/>
          <w:lang w:val="en-US" w:eastAsia="zh-CN"/>
        </w:rPr>
        <w:t>0.8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2023年需要缴纳2021年12月前职业年金单位纪实部分，2024年不需要缴纳此费用。</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auto"/>
          <w:sz w:val="32"/>
          <w:szCs w:val="32"/>
          <w:lang w:val="en-US"/>
        </w:rPr>
        <w:t>428.37</w:t>
      </w:r>
      <w:r>
        <w:rPr>
          <w:rFonts w:hint="eastAsia" w:ascii="仿宋_GB2312" w:hAnsi="ˎ̥" w:eastAsia="仿宋_GB2312"/>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年度决算数减少</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万元，</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2024年数据无变化</w:t>
      </w:r>
      <w:r>
        <w:rPr>
          <w:rFonts w:hint="eastAsia" w:ascii="仿宋_GB2312" w:hAnsi="ˎ̥" w:eastAsia="仿宋_GB2312"/>
          <w:color w:val="auto"/>
          <w:sz w:val="32"/>
          <w:szCs w:val="32"/>
        </w:rPr>
        <w:t>。</w:t>
      </w:r>
    </w:p>
    <w:p w14:paraId="70263D81">
      <w:pPr>
        <w:spacing w:line="578" w:lineRule="exact"/>
        <w:ind w:firstLine="640" w:firstLineChars="200"/>
        <w:rPr>
          <w:rFonts w:ascii="仿宋_GB2312" w:hAnsi="ˎ̥" w:eastAsia="仿宋_GB2312"/>
          <w:color w:val="auto"/>
          <w:sz w:val="32"/>
          <w:szCs w:val="32"/>
        </w:rPr>
      </w:pPr>
      <w:r>
        <w:rPr>
          <w:rFonts w:hint="eastAsia" w:ascii="仿宋_GB2312" w:hAnsi="ˎ̥" w:eastAsia="仿宋_GB2312"/>
          <w:sz w:val="32"/>
          <w:szCs w:val="32"/>
        </w:rPr>
        <w:t>年初结转结余</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r>
        <w:rPr>
          <w:rFonts w:hint="eastAsia" w:ascii="仿宋_GB2312" w:hAnsi="ˎ̥" w:eastAsia="仿宋_GB2312"/>
          <w:color w:val="auto"/>
          <w:sz w:val="32"/>
          <w:szCs w:val="32"/>
        </w:rPr>
        <w:t>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2024年数据无变化</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auto"/>
          <w:sz w:val="32"/>
          <w:szCs w:val="32"/>
          <w:lang w:val="en-US"/>
        </w:rPr>
        <w:t>428.37</w:t>
      </w:r>
      <w:r>
        <w:rPr>
          <w:rFonts w:hint="eastAsia" w:ascii="仿宋_GB2312" w:hAnsi="ˎ̥" w:eastAsia="仿宋_GB2312"/>
          <w:sz w:val="32"/>
          <w:szCs w:val="32"/>
        </w:rPr>
        <w:t>万元。</w:t>
      </w:r>
    </w:p>
    <w:p w14:paraId="018BD6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r>
        <w:rPr>
          <w:rFonts w:hint="eastAsia" w:ascii="仿宋_GB2312" w:hAnsi="ˎ̥" w:eastAsia="仿宋_GB2312"/>
          <w:color w:val="auto"/>
          <w:sz w:val="32"/>
          <w:szCs w:val="32"/>
        </w:rPr>
        <w:t>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2024年数据无变化</w:t>
      </w:r>
      <w:r>
        <w:rPr>
          <w:rFonts w:hint="eastAsia" w:ascii="仿宋_GB2312" w:hAnsi="ˎ̥" w:eastAsia="仿宋_GB2312"/>
          <w:color w:val="auto"/>
          <w:sz w:val="32"/>
          <w:szCs w:val="32"/>
        </w:rPr>
        <w:t>。</w:t>
      </w:r>
    </w:p>
    <w:p w14:paraId="340D1D84">
      <w:pPr>
        <w:spacing w:line="578" w:lineRule="exact"/>
        <w:ind w:firstLine="640" w:firstLineChars="200"/>
        <w:rPr>
          <w:rFonts w:hint="eastAsia" w:ascii="仿宋_GB2312" w:hAnsi="ˎ̥" w:eastAsia="仿宋_GB2312"/>
          <w:sz w:val="32"/>
          <w:szCs w:val="32"/>
        </w:rPr>
      </w:pPr>
      <w:r>
        <w:rPr>
          <w:rFonts w:hint="eastAsia" w:ascii="仿宋_GB2312" w:hAnsi="ˎ̥" w:eastAsia="仿宋_GB2312"/>
          <w:color w:val="auto"/>
          <w:sz w:val="32"/>
          <w:szCs w:val="32"/>
        </w:rPr>
        <w:t>年末结转结余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lang w:val="en-US" w:eastAsia="zh-CN"/>
        </w:rPr>
        <w:t>2024年数</w:t>
      </w:r>
      <w:r>
        <w:rPr>
          <w:rFonts w:hint="eastAsia" w:ascii="仿宋_GB2312" w:hAnsi="ˎ̥" w:eastAsia="仿宋_GB2312"/>
          <w:color w:val="000000"/>
          <w:sz w:val="32"/>
          <w:szCs w:val="32"/>
          <w:highlight w:val="none"/>
          <w:lang w:val="en-US" w:eastAsia="zh-CN"/>
        </w:rPr>
        <w:t>据无变化</w:t>
      </w:r>
      <w:r>
        <w:rPr>
          <w:rFonts w:hint="eastAsia" w:ascii="仿宋_GB2312" w:hAnsi="ˎ̥" w:eastAsia="仿宋_GB2312"/>
          <w:sz w:val="32"/>
          <w:szCs w:val="32"/>
        </w:rPr>
        <w:t>。</w:t>
      </w:r>
    </w:p>
    <w:p w14:paraId="3B02073F">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_GB2312" w:hAnsi="ˎ̥" w:eastAsia="仿宋_GB2312"/>
          <w:color w:val="auto"/>
          <w:sz w:val="32"/>
          <w:szCs w:val="32"/>
        </w:rPr>
        <w:t>本年收入</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289.73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68</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138.64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32</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653FAE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lang w:val="en-US"/>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年度相比，财政拨款收入减少</w:t>
      </w:r>
      <w:r>
        <w:rPr>
          <w:rFonts w:hint="eastAsia" w:ascii="仿宋_GB2312" w:hAnsi="ˎ̥" w:eastAsia="仿宋_GB2312"/>
          <w:color w:val="auto"/>
          <w:sz w:val="32"/>
          <w:szCs w:val="32"/>
          <w:lang w:val="en-US" w:eastAsia="zh-CN"/>
        </w:rPr>
        <w:t>3.38</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0.8</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2023年需要缴纳2021年12月前职业年金单位纪实部分，2024年不需要缴纳此费用。</w:t>
      </w:r>
    </w:p>
    <w:p w14:paraId="04DA1B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sz w:val="32"/>
          <w:szCs w:val="32"/>
        </w:rPr>
        <w:t>，</w:t>
      </w:r>
      <w:r>
        <w:rPr>
          <w:rFonts w:hint="eastAsia" w:ascii="仿宋_GB2312" w:hAnsi="ˎ̥" w:eastAsia="仿宋_GB2312"/>
          <w:color w:val="auto"/>
          <w:sz w:val="32"/>
          <w:szCs w:val="32"/>
        </w:rPr>
        <w:t>较202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2024年数据无变化</w:t>
      </w:r>
      <w:r>
        <w:rPr>
          <w:rFonts w:hint="eastAsia" w:ascii="仿宋_GB2312" w:hAnsi="ˎ̥" w:eastAsia="仿宋_GB2312"/>
          <w:color w:val="auto"/>
          <w:sz w:val="32"/>
          <w:szCs w:val="32"/>
          <w:highlight w:val="none"/>
        </w:rPr>
        <w:t>。</w:t>
      </w:r>
    </w:p>
    <w:p w14:paraId="61EEC8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w:t>
      </w:r>
      <w:r>
        <w:rPr>
          <w:rFonts w:hint="eastAsia" w:ascii="仿宋_GB2312" w:hAnsi="ˎ̥" w:eastAsia="仿宋_GB2312"/>
          <w:sz w:val="32"/>
          <w:szCs w:val="32"/>
        </w:rPr>
        <w:t>元，较202</w:t>
      </w:r>
      <w:r>
        <w:rPr>
          <w:rFonts w:hint="eastAsia" w:ascii="仿宋_GB2312" w:hAnsi="ˎ̥" w:eastAsia="仿宋_GB2312"/>
          <w:sz w:val="32"/>
          <w:szCs w:val="32"/>
          <w:lang w:val="en-US" w:eastAsia="zh-CN"/>
        </w:rPr>
        <w:t>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%，主要原因是</w:t>
      </w:r>
      <w:r>
        <w:rPr>
          <w:rFonts w:hint="eastAsia" w:ascii="仿宋_GB2312" w:hAnsi="ˎ̥" w:eastAsia="仿宋_GB2312"/>
          <w:color w:val="000000"/>
          <w:sz w:val="32"/>
          <w:szCs w:val="32"/>
          <w:highlight w:val="none"/>
        </w:rPr>
        <w:t>是</w:t>
      </w:r>
      <w:r>
        <w:rPr>
          <w:rFonts w:hint="eastAsia" w:ascii="仿宋_GB2312" w:hAnsi="ˎ̥" w:eastAsia="仿宋_GB2312"/>
          <w:color w:val="000000"/>
          <w:sz w:val="32"/>
          <w:szCs w:val="32"/>
          <w:highlight w:val="none"/>
          <w:lang w:val="en-US" w:eastAsia="zh-CN"/>
        </w:rPr>
        <w:t>2024年数据无变化</w:t>
      </w:r>
      <w:r>
        <w:rPr>
          <w:rFonts w:hint="eastAsia" w:ascii="仿宋_GB2312" w:hAnsi="ˎ̥" w:eastAsia="仿宋_GB2312"/>
          <w:color w:val="000000"/>
          <w:sz w:val="32"/>
          <w:szCs w:val="32"/>
          <w:highlight w:val="none"/>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21737_WPSOffice_Level2"/>
      <w:bookmarkStart w:id="80" w:name="_Toc13694_WPSOffice_Level2"/>
      <w:bookmarkStart w:id="81" w:name="_Toc17398_WPSOffice_Level2"/>
      <w:bookmarkStart w:id="82" w:name="_Toc23005_WPSOffice_Level2"/>
      <w:bookmarkStart w:id="83" w:name="_Toc19665_WPSOffice_Level2"/>
      <w:bookmarkStart w:id="84" w:name="_Toc9989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14:paraId="514C6E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年度相比，一般公共预算财政拨款支出减少</w:t>
      </w:r>
      <w:r>
        <w:rPr>
          <w:rFonts w:hint="eastAsia" w:ascii="仿宋_GB2312" w:hAnsi="ˎ̥" w:eastAsia="仿宋_GB2312"/>
          <w:color w:val="auto"/>
          <w:sz w:val="32"/>
          <w:szCs w:val="32"/>
          <w:lang w:val="en-US" w:eastAsia="zh-CN"/>
        </w:rPr>
        <w:t>3.38</w:t>
      </w:r>
      <w:r>
        <w:rPr>
          <w:rFonts w:hint="eastAsia" w:ascii="仿宋_GB2312" w:hAnsi="ˎ̥" w:eastAsia="仿宋_GB2312"/>
          <w:color w:val="auto"/>
          <w:sz w:val="32"/>
          <w:szCs w:val="32"/>
        </w:rPr>
        <w:t>万元，</w:t>
      </w:r>
      <w:r>
        <w:rPr>
          <w:rFonts w:hint="eastAsia" w:ascii="仿宋_GB2312" w:hAnsi="ˎ̥" w:eastAsia="仿宋_GB2312"/>
          <w:sz w:val="32"/>
          <w:szCs w:val="32"/>
        </w:rPr>
        <w:t>下降</w:t>
      </w:r>
      <w:r>
        <w:rPr>
          <w:rFonts w:hint="eastAsia" w:ascii="仿宋_GB2312" w:hAnsi="ˎ̥" w:eastAsia="仿宋_GB2312"/>
          <w:sz w:val="32"/>
          <w:szCs w:val="32"/>
          <w:lang w:val="en-US" w:eastAsia="zh-CN"/>
        </w:rPr>
        <w:t>0.8</w:t>
      </w:r>
      <w:r>
        <w:rPr>
          <w:rFonts w:hint="eastAsia" w:ascii="仿宋_GB2312" w:hAnsi="ˎ̥" w:eastAsia="仿宋_GB2312"/>
          <w:sz w:val="32"/>
          <w:szCs w:val="32"/>
        </w:rPr>
        <w:t>%，</w:t>
      </w:r>
      <w:bookmarkStart w:id="85" w:name="_Toc2711_WPSOffice_Level2"/>
      <w:bookmarkStart w:id="86" w:name="_Toc23864_WPSOffice_Level2"/>
      <w:bookmarkStart w:id="87" w:name="_Toc19075_WPSOffice_Level2"/>
      <w:bookmarkStart w:id="88" w:name="_Toc19535_WPSOffice_Level2"/>
      <w:bookmarkStart w:id="89" w:name="_Toc27767_WPSOffice_Level2"/>
      <w:bookmarkStart w:id="90" w:name="_Toc18793_WPSOffice_Level2"/>
      <w:r>
        <w:rPr>
          <w:rFonts w:hint="eastAsia" w:ascii="仿宋_GB2312" w:hAnsi="ˎ̥" w:eastAsia="仿宋_GB2312"/>
          <w:sz w:val="32"/>
          <w:szCs w:val="32"/>
          <w:lang w:val="en-US" w:eastAsia="zh-CN"/>
        </w:rPr>
        <w:t>主要原因是2023年需要缴纳2021年12月前职业年金单位纪实部分，2024年不需要缴纳此费用。</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14:paraId="7505E4B3">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auto"/>
          <w:sz w:val="32"/>
          <w:szCs w:val="32"/>
          <w:lang w:val="en-US"/>
        </w:rPr>
        <w:t>428.37</w:t>
      </w:r>
      <w:r>
        <w:rPr>
          <w:rFonts w:hint="eastAsia" w:ascii="仿宋_GB2312" w:hAnsi="ˎ̥" w:eastAsia="仿宋_GB2312"/>
          <w:sz w:val="32"/>
          <w:szCs w:val="32"/>
        </w:rPr>
        <w:t>万元，主要用于以下方面：</w:t>
      </w:r>
      <w:r>
        <w:rPr>
          <w:rFonts w:hint="eastAsia" w:ascii="仿宋_GB2312" w:hAnsi="ˎ̥" w:eastAsia="仿宋_GB2312" w:cs="Times New Roman"/>
          <w:color w:val="auto"/>
          <w:sz w:val="32"/>
          <w:szCs w:val="32"/>
          <w:highlight w:val="none"/>
          <w:lang w:val="en-US" w:eastAsia="zh-CN"/>
        </w:rPr>
        <w:t>社会保障和就业支出（类）支出30.59万元，占8%；卫生健康支出（类）支出29.40万元，占7%；节能</w:t>
      </w:r>
      <w:r>
        <w:rPr>
          <w:rFonts w:hint="eastAsia" w:ascii="仿宋_GB2312" w:hAnsi="ˎ̥" w:eastAsia="仿宋_GB2312" w:cs="Times New Roman"/>
          <w:color w:val="000000"/>
          <w:sz w:val="32"/>
          <w:szCs w:val="32"/>
          <w:highlight w:val="none"/>
          <w:lang w:val="en-US" w:eastAsia="zh-CN"/>
        </w:rPr>
        <w:t>环保支出支出（类）支出35.25万元，占8%；农林水支出（类）支出318.92万元，占74%；住房保障支出（类）支出</w:t>
      </w:r>
      <w:r>
        <w:rPr>
          <w:rFonts w:hint="eastAsia" w:ascii="仿宋_GB2312" w:hAnsi="ˎ̥" w:eastAsia="仿宋_GB2312"/>
          <w:color w:val="000000"/>
          <w:sz w:val="32"/>
          <w:szCs w:val="32"/>
          <w:highlight w:val="none"/>
          <w:lang w:val="en-US" w:eastAsia="zh-CN"/>
        </w:rPr>
        <w:t>14.21</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3</w:t>
      </w:r>
      <w:r>
        <w:rPr>
          <w:rFonts w:hint="eastAsia" w:ascii="仿宋_GB2312" w:hAnsi="ˎ̥" w:eastAsia="仿宋_GB2312"/>
          <w:color w:val="000000"/>
          <w:sz w:val="32"/>
          <w:szCs w:val="32"/>
          <w:highlight w:val="none"/>
        </w:rPr>
        <w:t>%</w:t>
      </w:r>
      <w:r>
        <w:rPr>
          <w:rFonts w:hint="eastAsia" w:ascii="仿宋_GB2312" w:hAnsi="ˎ̥" w:eastAsia="仿宋_GB2312"/>
          <w:color w:val="000000"/>
          <w:sz w:val="32"/>
          <w:szCs w:val="32"/>
          <w:highlight w:val="none"/>
          <w:lang w:eastAsia="zh-CN"/>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9502_WPSOffice_Level2"/>
      <w:bookmarkStart w:id="92" w:name="_Toc21701_WPSOffice_Level2"/>
      <w:bookmarkStart w:id="93" w:name="_Toc15415_WPSOffice_Level2"/>
      <w:bookmarkStart w:id="94" w:name="_Toc29364_WPSOffice_Level2"/>
      <w:bookmarkStart w:id="95" w:name="_Toc25136_WPSOffice_Level2"/>
      <w:bookmarkStart w:id="96" w:name="_Toc22318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年度一般公共预算财政拨款支出年初预算</w:t>
      </w:r>
      <w:r>
        <w:rPr>
          <w:rFonts w:hint="eastAsia" w:ascii="仿宋_GB2312" w:hAnsi="ˎ̥" w:eastAsia="仿宋_GB2312"/>
          <w:color w:val="auto"/>
          <w:sz w:val="32"/>
          <w:szCs w:val="32"/>
          <w:lang w:val="en-US" w:eastAsia="zh-CN"/>
        </w:rPr>
        <w:t>为478.54</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428.37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90</w:t>
      </w:r>
      <w:r>
        <w:rPr>
          <w:rFonts w:hint="eastAsia" w:ascii="仿宋_GB2312" w:hAnsi="ˎ̥" w:eastAsia="仿宋_GB2312"/>
          <w:color w:val="auto"/>
          <w:sz w:val="32"/>
          <w:szCs w:val="32"/>
        </w:rPr>
        <w:t>%</w:t>
      </w:r>
      <w:r>
        <w:rPr>
          <w:rFonts w:hint="eastAsia" w:ascii="仿宋_GB2312" w:hAnsi="ˎ̥" w:eastAsia="仿宋_GB2312"/>
          <w:sz w:val="32"/>
          <w:szCs w:val="32"/>
        </w:rPr>
        <w:t>。其中：</w:t>
      </w:r>
    </w:p>
    <w:p w14:paraId="0439F7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w:t>
      </w:r>
      <w:r>
        <w:rPr>
          <w:rFonts w:hint="eastAsia" w:ascii="仿宋_GB2312" w:hAnsi="ˎ̥" w:eastAsia="仿宋_GB2312"/>
          <w:b/>
          <w:color w:val="000000"/>
          <w:sz w:val="32"/>
          <w:szCs w:val="32"/>
          <w:highlight w:val="none"/>
          <w:lang w:eastAsia="zh-CN"/>
        </w:rPr>
        <w:t>社会保障和就业支出</w:t>
      </w:r>
      <w:r>
        <w:rPr>
          <w:rFonts w:hint="eastAsia" w:ascii="仿宋_GB2312" w:hAnsi="ˎ̥" w:eastAsia="仿宋_GB2312"/>
          <w:b/>
          <w:color w:val="000000"/>
          <w:sz w:val="32"/>
          <w:szCs w:val="32"/>
          <w:highlight w:val="none"/>
        </w:rPr>
        <w:t>（类）</w:t>
      </w:r>
    </w:p>
    <w:p w14:paraId="39E7B4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66.90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30.59</w:t>
      </w:r>
      <w:r>
        <w:rPr>
          <w:rFonts w:hint="eastAsia" w:ascii="仿宋_GB2312" w:hAnsi="ˎ̥" w:eastAsia="仿宋_GB2312"/>
          <w:color w:val="000000"/>
          <w:sz w:val="32"/>
          <w:szCs w:val="32"/>
          <w:highlight w:val="none"/>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46</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小于</w:t>
      </w:r>
      <w:r>
        <w:rPr>
          <w:rFonts w:hint="eastAsia" w:ascii="仿宋_GB2312" w:hAnsi="ˎ̥" w:eastAsia="仿宋_GB2312"/>
          <w:color w:val="auto"/>
          <w:sz w:val="32"/>
          <w:szCs w:val="32"/>
          <w:highlight w:val="none"/>
        </w:rPr>
        <w:t>预算数的主要原因：</w:t>
      </w:r>
      <w:r>
        <w:rPr>
          <w:rFonts w:hint="eastAsia" w:ascii="仿宋_GB2312" w:hAnsi="ˎ̥" w:eastAsia="仿宋_GB2312"/>
          <w:sz w:val="32"/>
          <w:szCs w:val="32"/>
          <w:lang w:val="en-US" w:eastAsia="zh-CN"/>
        </w:rPr>
        <w:t>2023年已缴纳2021年12月前职业年金单位纪实部分，2024年不需要缴纳此费用。</w:t>
      </w:r>
    </w:p>
    <w:p w14:paraId="4D2AF0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2.</w:t>
      </w:r>
      <w:r>
        <w:rPr>
          <w:rFonts w:hint="eastAsia" w:ascii="仿宋_GB2312" w:hAnsi="ˎ̥" w:eastAsia="仿宋_GB2312" w:cs="Times New Roman"/>
          <w:b/>
          <w:color w:val="000000"/>
          <w:sz w:val="32"/>
          <w:szCs w:val="32"/>
          <w:highlight w:val="none"/>
          <w:lang w:eastAsia="zh-CN"/>
        </w:rPr>
        <w:t>卫生健康支出</w:t>
      </w:r>
      <w:r>
        <w:rPr>
          <w:rFonts w:hint="eastAsia" w:ascii="仿宋_GB2312" w:hAnsi="ˎ̥" w:eastAsia="仿宋_GB2312" w:cs="Times New Roman"/>
          <w:b/>
          <w:color w:val="000000"/>
          <w:sz w:val="32"/>
          <w:szCs w:val="32"/>
          <w:highlight w:val="none"/>
        </w:rPr>
        <w:t>（</w:t>
      </w:r>
      <w:r>
        <w:rPr>
          <w:rFonts w:hint="eastAsia" w:ascii="仿宋_GB2312" w:hAnsi="ˎ̥" w:eastAsia="仿宋_GB2312"/>
          <w:b/>
          <w:color w:val="000000"/>
          <w:sz w:val="32"/>
          <w:szCs w:val="32"/>
          <w:highlight w:val="none"/>
        </w:rPr>
        <w:t>类）</w:t>
      </w:r>
    </w:p>
    <w:p w14:paraId="6473CE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000000"/>
          <w:sz w:val="32"/>
          <w:szCs w:val="32"/>
          <w:highlight w:val="none"/>
        </w:rPr>
        <w:t>年</w:t>
      </w:r>
      <w:r>
        <w:rPr>
          <w:rFonts w:hint="eastAsia" w:ascii="仿宋_GB2312" w:hAnsi="ˎ̥" w:eastAsia="仿宋_GB2312"/>
          <w:color w:val="auto"/>
          <w:sz w:val="32"/>
          <w:szCs w:val="32"/>
          <w:highlight w:val="none"/>
        </w:rPr>
        <w:t>初预算为</w:t>
      </w:r>
      <w:r>
        <w:rPr>
          <w:rFonts w:hint="eastAsia" w:ascii="仿宋_GB2312" w:hAnsi="ˎ̥" w:eastAsia="仿宋_GB2312"/>
          <w:color w:val="auto"/>
          <w:sz w:val="32"/>
          <w:szCs w:val="32"/>
          <w:highlight w:val="none"/>
          <w:lang w:val="en-US" w:eastAsia="zh-CN"/>
        </w:rPr>
        <w:t>31.84</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29.40</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92</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小于</w:t>
      </w:r>
      <w:r>
        <w:rPr>
          <w:rFonts w:hint="eastAsia" w:ascii="仿宋_GB2312" w:hAnsi="ˎ̥" w:eastAsia="仿宋_GB2312"/>
          <w:color w:val="auto"/>
          <w:sz w:val="32"/>
          <w:szCs w:val="32"/>
          <w:highlight w:val="none"/>
        </w:rPr>
        <w:t>预算数的主要原因：</w:t>
      </w:r>
      <w:r>
        <w:rPr>
          <w:rFonts w:hint="eastAsia" w:ascii="仿宋_GB2312" w:hAnsi="ˎ̥" w:eastAsia="仿宋_GB2312"/>
          <w:color w:val="auto"/>
          <w:sz w:val="32"/>
          <w:szCs w:val="32"/>
          <w:highlight w:val="none"/>
          <w:lang w:val="en-US" w:eastAsia="zh-CN"/>
        </w:rPr>
        <w:t>医疗保险基数减少。</w:t>
      </w:r>
    </w:p>
    <w:p w14:paraId="095865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lang w:val="en-US" w:eastAsia="zh-CN"/>
        </w:rPr>
        <w:t>3.节能环保支出</w:t>
      </w:r>
      <w:r>
        <w:rPr>
          <w:rFonts w:hint="eastAsia" w:ascii="仿宋_GB2312" w:hAnsi="ˎ̥" w:eastAsia="仿宋_GB2312" w:cs="Times New Roman"/>
          <w:b/>
          <w:color w:val="auto"/>
          <w:sz w:val="32"/>
          <w:szCs w:val="32"/>
          <w:highlight w:val="none"/>
        </w:rPr>
        <w:t>（</w:t>
      </w:r>
      <w:r>
        <w:rPr>
          <w:rFonts w:hint="eastAsia" w:ascii="仿宋_GB2312" w:hAnsi="ˎ̥" w:eastAsia="仿宋_GB2312"/>
          <w:b/>
          <w:color w:val="auto"/>
          <w:sz w:val="32"/>
          <w:szCs w:val="32"/>
          <w:highlight w:val="none"/>
        </w:rPr>
        <w:t>类）</w:t>
      </w:r>
    </w:p>
    <w:p w14:paraId="2A241E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C00000"/>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35.25</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35.25</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4147C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lang w:val="en-US" w:eastAsia="zh-CN"/>
        </w:rPr>
        <w:t>4</w:t>
      </w:r>
      <w:r>
        <w:rPr>
          <w:rFonts w:hint="eastAsia" w:ascii="仿宋_GB2312" w:hAnsi="ˎ̥" w:eastAsia="仿宋_GB2312"/>
          <w:color w:val="000000"/>
          <w:sz w:val="32"/>
          <w:szCs w:val="32"/>
          <w:highlight w:val="none"/>
        </w:rPr>
        <w:t>.</w:t>
      </w:r>
      <w:r>
        <w:rPr>
          <w:rFonts w:hint="eastAsia" w:ascii="仿宋_GB2312" w:hAnsi="ˎ̥" w:eastAsia="仿宋_GB2312" w:cs="Times New Roman"/>
          <w:b/>
          <w:color w:val="000000"/>
          <w:sz w:val="32"/>
          <w:szCs w:val="32"/>
          <w:highlight w:val="none"/>
          <w:lang w:eastAsia="zh-CN"/>
        </w:rPr>
        <w:t>农林水支出</w:t>
      </w:r>
      <w:r>
        <w:rPr>
          <w:rFonts w:hint="eastAsia" w:ascii="仿宋_GB2312" w:hAnsi="ˎ̥" w:eastAsia="仿宋_GB2312" w:cs="Times New Roman"/>
          <w:b/>
          <w:color w:val="000000"/>
          <w:sz w:val="32"/>
          <w:szCs w:val="32"/>
          <w:highlight w:val="none"/>
        </w:rPr>
        <w:t>（</w:t>
      </w:r>
      <w:r>
        <w:rPr>
          <w:rFonts w:hint="eastAsia" w:ascii="仿宋_GB2312" w:hAnsi="ˎ̥" w:eastAsia="仿宋_GB2312"/>
          <w:b/>
          <w:color w:val="000000"/>
          <w:sz w:val="32"/>
          <w:szCs w:val="32"/>
          <w:highlight w:val="none"/>
        </w:rPr>
        <w:t>类）</w:t>
      </w:r>
    </w:p>
    <w:p w14:paraId="1AC12D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ˎ̥" w:eastAsia="仿宋_GB2312" w:cs="仿宋_GB2312"/>
          <w:color w:val="C00000"/>
          <w:sz w:val="32"/>
          <w:szCs w:val="32"/>
          <w:lang w:val="en-US" w:eastAsia="zh-CN"/>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325.13</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318.92</w:t>
      </w:r>
      <w:r>
        <w:rPr>
          <w:rFonts w:hint="eastAsia" w:ascii="仿宋_GB2312" w:hAnsi="ˎ̥" w:eastAsia="仿宋_GB2312"/>
          <w:color w:val="000000"/>
          <w:sz w:val="32"/>
          <w:szCs w:val="32"/>
          <w:highlight w:val="none"/>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97</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w:t>
      </w:r>
      <w:r>
        <w:rPr>
          <w:rFonts w:hint="eastAsia" w:ascii="仿宋_GB2312" w:hAnsi="ˎ̥" w:eastAsia="仿宋_GB2312"/>
          <w:color w:val="auto"/>
          <w:sz w:val="32"/>
          <w:szCs w:val="32"/>
          <w:highlight w:val="none"/>
        </w:rPr>
        <w:t>于预算数的主要原因：</w:t>
      </w:r>
      <w:r>
        <w:rPr>
          <w:rFonts w:hint="eastAsia" w:ascii="仿宋_GB2312" w:hAnsi="ˎ̥" w:eastAsia="仿宋_GB2312"/>
          <w:color w:val="auto"/>
          <w:sz w:val="32"/>
          <w:szCs w:val="32"/>
          <w:highlight w:val="none"/>
          <w:lang w:val="en-US" w:eastAsia="zh-CN"/>
        </w:rPr>
        <w:t>公益林人员离岗导致劳务费剩余等。</w:t>
      </w:r>
    </w:p>
    <w:p w14:paraId="3862F5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lang w:val="en-US" w:eastAsia="zh-CN"/>
        </w:rPr>
        <w:t>5</w:t>
      </w:r>
      <w:r>
        <w:rPr>
          <w:rFonts w:hint="eastAsia" w:ascii="仿宋_GB2312" w:hAnsi="ˎ̥" w:eastAsia="仿宋_GB2312"/>
          <w:color w:val="000000"/>
          <w:sz w:val="32"/>
          <w:szCs w:val="32"/>
          <w:highlight w:val="none"/>
        </w:rPr>
        <w:t>.</w:t>
      </w:r>
      <w:r>
        <w:rPr>
          <w:rFonts w:hint="eastAsia" w:ascii="仿宋_GB2312" w:hAnsi="ˎ̥" w:eastAsia="仿宋_GB2312" w:cs="Times New Roman"/>
          <w:b/>
          <w:color w:val="000000"/>
          <w:sz w:val="32"/>
          <w:szCs w:val="32"/>
          <w:highlight w:val="none"/>
          <w:lang w:eastAsia="zh-CN"/>
        </w:rPr>
        <w:t>住房保障支出</w:t>
      </w:r>
      <w:r>
        <w:rPr>
          <w:rFonts w:hint="eastAsia" w:ascii="仿宋_GB2312" w:hAnsi="ˎ̥" w:eastAsia="仿宋_GB2312" w:cs="Times New Roman"/>
          <w:b/>
          <w:color w:val="000000"/>
          <w:sz w:val="32"/>
          <w:szCs w:val="32"/>
          <w:highlight w:val="none"/>
        </w:rPr>
        <w:t>（</w:t>
      </w:r>
      <w:r>
        <w:rPr>
          <w:rFonts w:hint="eastAsia" w:ascii="仿宋_GB2312" w:hAnsi="ˎ̥" w:eastAsia="仿宋_GB2312"/>
          <w:b/>
          <w:color w:val="000000"/>
          <w:sz w:val="32"/>
          <w:szCs w:val="32"/>
          <w:highlight w:val="none"/>
        </w:rPr>
        <w:t>类）</w:t>
      </w:r>
    </w:p>
    <w:p w14:paraId="0E57CC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eastAsia="zh-CN"/>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19.42</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14.21</w:t>
      </w:r>
      <w:r>
        <w:rPr>
          <w:rFonts w:hint="eastAsia" w:ascii="仿宋_GB2312" w:hAnsi="ˎ̥" w:eastAsia="仿宋_GB2312"/>
          <w:color w:val="000000"/>
          <w:sz w:val="32"/>
          <w:szCs w:val="32"/>
          <w:highlight w:val="none"/>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73</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小于</w:t>
      </w:r>
      <w:r>
        <w:rPr>
          <w:rFonts w:hint="eastAsia" w:ascii="仿宋_GB2312" w:hAnsi="ˎ̥" w:eastAsia="仿宋_GB2312"/>
          <w:color w:val="auto"/>
          <w:sz w:val="32"/>
          <w:szCs w:val="32"/>
          <w:highlight w:val="none"/>
        </w:rPr>
        <w:t>预算数的主要原因：</w:t>
      </w:r>
      <w:r>
        <w:rPr>
          <w:rFonts w:hint="default" w:ascii="仿宋_GB2312" w:hAnsi="ˎ̥" w:eastAsia="仿宋_GB2312" w:cs="仿宋_GB2312"/>
          <w:color w:val="auto"/>
          <w:sz w:val="32"/>
          <w:szCs w:val="32"/>
          <w:lang w:eastAsia="zh-CN"/>
        </w:rPr>
        <w:t>单位</w:t>
      </w:r>
      <w:r>
        <w:rPr>
          <w:rFonts w:hint="eastAsia" w:ascii="仿宋_GB2312" w:hAnsi="ˎ̥" w:eastAsia="仿宋_GB2312" w:cs="仿宋_GB2312"/>
          <w:color w:val="auto"/>
          <w:sz w:val="32"/>
          <w:szCs w:val="32"/>
          <w:lang w:val="en-US" w:eastAsia="zh-CN"/>
        </w:rPr>
        <w:t>人员离职</w:t>
      </w:r>
      <w:r>
        <w:rPr>
          <w:rFonts w:hint="eastAsia" w:ascii="仿宋_GB2312" w:hAnsi="ˎ̥" w:eastAsia="仿宋_GB2312"/>
          <w:color w:val="auto"/>
          <w:sz w:val="32"/>
          <w:szCs w:val="32"/>
          <w:highlight w:val="none"/>
          <w:lang w:eastAsia="zh-CN"/>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auto"/>
          <w:sz w:val="32"/>
          <w:szCs w:val="32"/>
          <w:lang w:val="en-US"/>
        </w:rPr>
        <w:t>289.73</w:t>
      </w:r>
      <w:r>
        <w:rPr>
          <w:rFonts w:hint="eastAsia" w:ascii="仿宋_GB2312" w:hAnsi="ˎ̥" w:eastAsia="仿宋_GB2312"/>
          <w:sz w:val="32"/>
          <w:szCs w:val="32"/>
        </w:rPr>
        <w:t>万元，其中：人员经费</w:t>
      </w:r>
      <w:r>
        <w:rPr>
          <w:rFonts w:ascii="仿宋_GB2312" w:hAnsi="ˎ̥" w:eastAsia="仿宋_GB2312"/>
          <w:color w:val="auto"/>
          <w:sz w:val="32"/>
          <w:szCs w:val="32"/>
          <w:lang w:val="en-US"/>
        </w:rPr>
        <w:t>249.53</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40.20</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5323373B">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w:t>
      </w:r>
      <w:r>
        <w:rPr>
          <w:rFonts w:hint="eastAsia" w:ascii="仿宋_GB2312" w:hAnsi="ˎ̥" w:eastAsia="仿宋_GB2312"/>
          <w:color w:val="auto"/>
          <w:sz w:val="32"/>
          <w:szCs w:val="32"/>
        </w:rPr>
        <w:t>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无发生数</w:t>
      </w:r>
      <w:r>
        <w:rPr>
          <w:rFonts w:hint="eastAsia" w:ascii="仿宋_GB2312" w:hAnsi="ˎ̥" w:eastAsia="仿宋_GB2312"/>
          <w:sz w:val="32"/>
          <w:szCs w:val="32"/>
        </w:rPr>
        <w:t>，</w:t>
      </w:r>
      <w:r>
        <w:rPr>
          <w:rFonts w:hint="eastAsia" w:ascii="仿宋_GB2312" w:hAnsi="ˎ̥" w:eastAsia="仿宋_GB2312"/>
          <w:sz w:val="32"/>
          <w:szCs w:val="32"/>
          <w:lang w:val="en-US" w:eastAsia="zh-CN"/>
        </w:rPr>
        <w:t>无增减率</w:t>
      </w:r>
      <w:r>
        <w:rPr>
          <w:rFonts w:hint="eastAsia" w:ascii="仿宋_GB2312" w:hAnsi="ˎ̥" w:eastAsia="仿宋_GB2312"/>
          <w:sz w:val="32"/>
          <w:szCs w:val="32"/>
          <w:lang w:eastAsia="zh-CN"/>
        </w:rPr>
        <w:t>，</w:t>
      </w:r>
      <w:r>
        <w:rPr>
          <w:rFonts w:hint="eastAsia" w:ascii="仿宋_GB2312" w:hAnsi="ˎ̥" w:eastAsia="仿宋_GB2312"/>
          <w:sz w:val="32"/>
          <w:szCs w:val="32"/>
        </w:rPr>
        <w:t>主要原因是</w:t>
      </w:r>
      <w:r>
        <w:rPr>
          <w:rFonts w:hint="eastAsia" w:ascii="仿宋_GB2312" w:hAnsi="ˎ̥" w:eastAsia="仿宋_GB2312"/>
          <w:sz w:val="32"/>
          <w:szCs w:val="32"/>
          <w:lang w:eastAsia="zh-CN"/>
        </w:rPr>
        <w:t>本年没有发生相关的收支决算数据</w:t>
      </w:r>
      <w:r>
        <w:rPr>
          <w:rFonts w:hint="eastAsia" w:ascii="仿宋_GB2312" w:hAnsi="ˎ̥" w:eastAsia="仿宋_GB2312"/>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2695891F">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w:t>
      </w:r>
      <w:r>
        <w:rPr>
          <w:rFonts w:hint="eastAsia" w:ascii="仿宋_GB2312" w:hAnsi="ˎ̥" w:eastAsia="仿宋_GB2312"/>
          <w:color w:val="auto"/>
          <w:sz w:val="32"/>
          <w:szCs w:val="32"/>
        </w:rPr>
        <w:t>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sz w:val="32"/>
          <w:szCs w:val="32"/>
          <w:lang w:eastAsia="zh-CN"/>
        </w:rPr>
        <w:t>支出决算为</w:t>
      </w:r>
      <w:r>
        <w:rPr>
          <w:rFonts w:hint="eastAsia" w:ascii="仿宋_GB2312" w:hAnsi="ˎ̥" w:eastAsia="仿宋_GB2312"/>
          <w:sz w:val="32"/>
          <w:szCs w:val="32"/>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主要原因是</w:t>
      </w:r>
      <w:r>
        <w:rPr>
          <w:rFonts w:hint="eastAsia" w:ascii="仿宋_GB2312" w:hAnsi="ˎ̥" w:eastAsia="仿宋_GB2312"/>
          <w:sz w:val="32"/>
          <w:szCs w:val="32"/>
          <w:lang w:eastAsia="zh-CN"/>
        </w:rPr>
        <w:t>本年没有发生相关的收支决算数据</w:t>
      </w:r>
      <w:r>
        <w:rPr>
          <w:rFonts w:hint="eastAsia" w:ascii="仿宋_GB2312" w:hAnsi="ˎ̥" w:eastAsia="仿宋_GB2312"/>
          <w:sz w:val="32"/>
          <w:szCs w:val="32"/>
        </w:rPr>
        <w:t>。</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38E3AE49">
      <w:pPr>
        <w:spacing w:line="578" w:lineRule="exact"/>
        <w:ind w:firstLine="640" w:firstLineChars="200"/>
        <w:rPr>
          <w:rFonts w:hint="eastAsia" w:ascii="仿宋_GB2312" w:hAnsi="ˎ̥" w:eastAsia="仿宋_GB2312" w:cs="Times New Roman"/>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s="Times New Roman"/>
          <w:sz w:val="32"/>
          <w:szCs w:val="32"/>
        </w:rPr>
        <w:t>政府性基金预算财政拨款支出年初预算为</w:t>
      </w:r>
      <w:r>
        <w:rPr>
          <w:rFonts w:hint="eastAsia" w:ascii="仿宋_GB2312" w:hAnsi="ˎ̥" w:eastAsia="仿宋_GB2312" w:cs="Times New Roman"/>
          <w:sz w:val="32"/>
          <w:szCs w:val="32"/>
          <w:lang w:val="en-US" w:eastAsia="zh-CN"/>
        </w:rPr>
        <w:t>0</w:t>
      </w:r>
      <w:r>
        <w:rPr>
          <w:rFonts w:hint="eastAsia" w:ascii="仿宋_GB2312" w:hAnsi="ˎ̥" w:eastAsia="仿宋_GB2312" w:cs="Times New Roman"/>
          <w:sz w:val="32"/>
          <w:szCs w:val="32"/>
        </w:rPr>
        <w:t>万元，支出决算为</w:t>
      </w:r>
      <w:r>
        <w:rPr>
          <w:rFonts w:hint="eastAsia" w:ascii="仿宋_GB2312" w:hAnsi="ˎ̥" w:eastAsia="仿宋_GB2312" w:cs="Times New Roman"/>
          <w:sz w:val="32"/>
          <w:szCs w:val="32"/>
          <w:lang w:val="en-US" w:eastAsia="zh-CN"/>
        </w:rPr>
        <w:t>0</w:t>
      </w:r>
      <w:r>
        <w:rPr>
          <w:rFonts w:hint="eastAsia" w:ascii="仿宋_GB2312" w:hAnsi="ˎ̥" w:eastAsia="仿宋_GB2312" w:cs="Times New Roman"/>
          <w:sz w:val="32"/>
          <w:szCs w:val="32"/>
        </w:rPr>
        <w:t>万元</w:t>
      </w:r>
      <w:r>
        <w:rPr>
          <w:rFonts w:hint="eastAsia" w:ascii="仿宋_GB2312" w:hAnsi="ˎ̥" w:eastAsia="仿宋_GB2312" w:cs="Times New Roman"/>
          <w:sz w:val="32"/>
          <w:szCs w:val="32"/>
          <w:lang w:eastAsia="zh-CN"/>
        </w:rPr>
        <w:t>，</w:t>
      </w:r>
      <w:r>
        <w:rPr>
          <w:rFonts w:hint="eastAsia" w:ascii="仿宋_GB2312" w:hAnsi="ˎ̥" w:eastAsia="仿宋_GB2312"/>
          <w:sz w:val="32"/>
          <w:szCs w:val="32"/>
        </w:rPr>
        <w:t>主要原因是</w:t>
      </w:r>
      <w:r>
        <w:rPr>
          <w:rFonts w:hint="eastAsia" w:ascii="仿宋_GB2312" w:hAnsi="ˎ̥" w:eastAsia="仿宋_GB2312"/>
          <w:sz w:val="32"/>
          <w:szCs w:val="32"/>
          <w:lang w:eastAsia="zh-CN"/>
        </w:rPr>
        <w:t>本年没有发生相关的收支决算数据</w:t>
      </w:r>
      <w:r>
        <w:rPr>
          <w:rFonts w:hint="eastAsia" w:ascii="仿宋_GB2312" w:hAnsi="ˎ̥" w:eastAsia="仿宋_GB2312"/>
          <w:sz w:val="32"/>
          <w:szCs w:val="32"/>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27F0F315">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w:t>
      </w:r>
      <w:r>
        <w:rPr>
          <w:rFonts w:hint="eastAsia" w:ascii="仿宋_GB2312" w:hAnsi="ˎ̥" w:eastAsia="仿宋_GB2312"/>
          <w:color w:val="auto"/>
          <w:sz w:val="32"/>
          <w:szCs w:val="32"/>
        </w:rPr>
        <w:t>国有资本经营预算财政拨款支出</w:t>
      </w:r>
      <w:r>
        <w:rPr>
          <w:rFonts w:hint="eastAsia" w:ascii="仿宋_GB2312" w:hAnsi="ˎ̥" w:eastAsia="仿宋_GB2312"/>
          <w:color w:val="auto"/>
          <w:sz w:val="32"/>
          <w:szCs w:val="32"/>
          <w:lang w:val="en-US" w:eastAsia="zh-CN"/>
        </w:rPr>
        <w:t>无支出数</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无增减比率</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本</w:t>
      </w:r>
      <w:r>
        <w:rPr>
          <w:rFonts w:hint="eastAsia" w:ascii="仿宋_GB2312" w:hAnsi="ˎ̥" w:eastAsia="仿宋_GB2312"/>
          <w:sz w:val="32"/>
          <w:szCs w:val="32"/>
          <w:lang w:eastAsia="zh-CN"/>
        </w:rPr>
        <w:t>年没有发生相关的收支决算数据</w:t>
      </w:r>
      <w:r>
        <w:rPr>
          <w:rFonts w:hint="eastAsia" w:ascii="仿宋_GB2312" w:hAnsi="ˎ̥" w:eastAsia="仿宋_GB2312"/>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131AD830">
      <w:pPr>
        <w:spacing w:line="578" w:lineRule="exact"/>
        <w:ind w:firstLine="640" w:firstLineChars="200"/>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w:t>
      </w:r>
      <w:r>
        <w:rPr>
          <w:rFonts w:hint="eastAsia" w:ascii="仿宋_GB2312" w:hAnsi="ˎ̥" w:eastAsia="仿宋_GB2312"/>
          <w:color w:val="auto"/>
          <w:sz w:val="32"/>
          <w:szCs w:val="32"/>
        </w:rPr>
        <w:t>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主</w:t>
      </w:r>
      <w:r>
        <w:rPr>
          <w:rFonts w:hint="eastAsia" w:ascii="仿宋_GB2312" w:hAnsi="ˎ̥" w:eastAsia="仿宋_GB2312"/>
          <w:sz w:val="32"/>
          <w:szCs w:val="32"/>
        </w:rPr>
        <w:t>要原因是</w:t>
      </w:r>
      <w:r>
        <w:rPr>
          <w:rFonts w:hint="eastAsia" w:ascii="仿宋_GB2312" w:hAnsi="ˎ̥" w:eastAsia="仿宋_GB2312"/>
          <w:sz w:val="32"/>
          <w:szCs w:val="32"/>
          <w:lang w:eastAsia="zh-CN"/>
        </w:rPr>
        <w:t>本年没有发生相关的收支决算数据</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14BCCC13">
      <w:pPr>
        <w:spacing w:line="578" w:lineRule="exact"/>
        <w:ind w:firstLine="640" w:firstLineChars="200"/>
        <w:rPr>
          <w:rFonts w:hint="eastAsia" w:ascii="仿宋_GB2312" w:hAnsi="ˎ̥" w:eastAsia="仿宋_GB2312"/>
          <w:color w:val="auto"/>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auto"/>
          <w:sz w:val="32"/>
          <w:szCs w:val="32"/>
        </w:rPr>
        <w:t>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万元，主要原因是</w:t>
      </w:r>
      <w:r>
        <w:rPr>
          <w:rFonts w:hint="eastAsia" w:ascii="仿宋_GB2312" w:hAnsi="ˎ̥" w:eastAsia="仿宋_GB2312"/>
          <w:color w:val="auto"/>
          <w:sz w:val="32"/>
          <w:szCs w:val="32"/>
          <w:lang w:eastAsia="zh-CN"/>
        </w:rPr>
        <w:t>本年没有发生相关的收支决算数据</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7EFC3BA8">
      <w:pPr>
        <w:spacing w:line="578" w:lineRule="exact"/>
        <w:rPr>
          <w:rFonts w:hint="eastAsia" w:ascii="仿宋_GB2312" w:hAnsi="ˎ̥" w:eastAsia="仿宋_GB2312"/>
          <w:color w:val="auto"/>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auto"/>
          <w:sz w:val="32"/>
          <w:szCs w:val="32"/>
        </w:rPr>
        <w:t>财政拨款“三公”经费支出预算为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w:t>
      </w:r>
      <w:r>
        <w:rPr>
          <w:rFonts w:hint="eastAsia" w:ascii="仿宋_GB2312" w:hAnsi="ˎ̥" w:eastAsia="仿宋_GB2312"/>
          <w:sz w:val="32"/>
          <w:szCs w:val="32"/>
        </w:rPr>
        <w:t>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与</w:t>
      </w:r>
      <w:r>
        <w:rPr>
          <w:rFonts w:hint="eastAsia" w:ascii="仿宋_GB2312" w:hAnsi="ˎ̥" w:eastAsia="仿宋_GB2312"/>
          <w:color w:val="auto"/>
          <w:sz w:val="32"/>
          <w:szCs w:val="32"/>
        </w:rPr>
        <w:t>2022年度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w:t>
      </w:r>
      <w:r>
        <w:rPr>
          <w:rFonts w:hint="eastAsia" w:ascii="仿宋_GB2312" w:hAnsi="ˎ̥" w:eastAsia="仿宋_GB2312"/>
          <w:color w:val="auto"/>
          <w:sz w:val="32"/>
          <w:szCs w:val="32"/>
          <w:lang w:val="en-US" w:eastAsia="zh-CN"/>
        </w:rPr>
        <w:t>无发生变化数。</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5EEBDB15">
      <w:pPr>
        <w:spacing w:line="578" w:lineRule="exact"/>
        <w:ind w:firstLine="640" w:firstLineChars="200"/>
        <w:rPr>
          <w:rFonts w:hint="eastAsia" w:ascii="仿宋_GB2312" w:hAnsi="ˎ̥" w:eastAsia="仿宋_GB2312"/>
          <w:color w:val="auto"/>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auto"/>
          <w:sz w:val="32"/>
          <w:szCs w:val="32"/>
        </w:rPr>
        <w:t>财政拨款“三公”经费支出决算中，因公出国（境）费支出决算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72D2964C">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人次。与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color w:val="auto"/>
          <w:sz w:val="32"/>
          <w:szCs w:val="32"/>
        </w:rPr>
        <w:t>因公出国（境）费支出</w:t>
      </w:r>
      <w:r>
        <w:rPr>
          <w:rFonts w:hint="eastAsia" w:ascii="仿宋_GB2312" w:hAnsi="ˎ̥" w:eastAsia="仿宋_GB2312"/>
          <w:color w:val="auto"/>
          <w:sz w:val="32"/>
          <w:szCs w:val="32"/>
          <w:lang w:val="en-US" w:eastAsia="zh-CN"/>
        </w:rPr>
        <w:t>无发生变化数</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没有发生相关支出数据</w:t>
      </w:r>
      <w:r>
        <w:rPr>
          <w:rFonts w:hint="eastAsia" w:ascii="仿宋_GB2312" w:hAnsi="ˎ̥" w:eastAsia="仿宋_GB2312"/>
          <w:color w:val="auto"/>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w:t>
      </w:r>
      <w:r>
        <w:rPr>
          <w:rFonts w:hint="eastAsia" w:ascii="仿宋_GB2312" w:hAnsi="ˎ̥" w:eastAsia="仿宋_GB2312"/>
          <w:b w:val="0"/>
          <w:bCs/>
          <w:sz w:val="32"/>
          <w:szCs w:val="32"/>
        </w:rPr>
        <w:t>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68998114">
      <w:pPr>
        <w:spacing w:line="578" w:lineRule="exact"/>
        <w:ind w:firstLine="640" w:firstLineChars="200"/>
        <w:rPr>
          <w:rFonts w:hint="eastAsia" w:ascii="仿宋_GB2312" w:hAnsi="ˎ̥" w:eastAsia="仿宋_GB2312"/>
          <w:bCs/>
          <w:color w:val="auto"/>
          <w:sz w:val="32"/>
          <w:szCs w:val="32"/>
        </w:rPr>
      </w:pPr>
      <w:r>
        <w:rPr>
          <w:rFonts w:hint="eastAsia" w:ascii="仿宋_GB2312" w:hAnsi="ˎ̥" w:eastAsia="仿宋_GB2312"/>
          <w:bCs/>
          <w:sz w:val="32"/>
          <w:szCs w:val="32"/>
        </w:rPr>
        <w:t>公</w:t>
      </w:r>
      <w:r>
        <w:rPr>
          <w:rFonts w:hint="eastAsia" w:ascii="仿宋_GB2312" w:hAnsi="ˎ̥" w:eastAsia="仿宋_GB2312"/>
          <w:bCs/>
          <w:color w:val="auto"/>
          <w:sz w:val="32"/>
          <w:szCs w:val="32"/>
        </w:rPr>
        <w:t>务用车购置及运行维护费支出决算数</w:t>
      </w:r>
      <w:r>
        <w:rPr>
          <w:rFonts w:hint="eastAsia" w:ascii="仿宋_GB2312" w:hAnsi="ˎ̥" w:eastAsia="仿宋_GB2312"/>
          <w:color w:val="auto"/>
          <w:sz w:val="32"/>
          <w:szCs w:val="32"/>
        </w:rPr>
        <w:t>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无发生变化数</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没有发生相关支出数据</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color w:val="auto"/>
          <w:sz w:val="32"/>
          <w:szCs w:val="32"/>
          <w:lang w:val="en-US"/>
        </w:rPr>
        <w:t>0.00</w:t>
      </w:r>
      <w:r>
        <w:rPr>
          <w:rFonts w:hint="eastAsia" w:ascii="仿宋_GB2312" w:hAnsi="ˎ̥" w:eastAsia="仿宋_GB2312"/>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lang w:eastAsia="zh-CN"/>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sz w:val="32"/>
          <w:szCs w:val="32"/>
        </w:rPr>
        <w:t>人次</w:t>
      </w:r>
      <w:r>
        <w:rPr>
          <w:rFonts w:hint="eastAsia" w:ascii="仿宋_GB2312" w:hAnsi="ˎ̥" w:eastAsia="仿宋_GB2312"/>
          <w:sz w:val="32"/>
          <w:szCs w:val="32"/>
          <w:lang w:eastAsia="zh-CN"/>
        </w:rPr>
        <w:t>。</w:t>
      </w:r>
    </w:p>
    <w:p w14:paraId="5E5B4A10">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360F7CBF">
      <w:pPr>
        <w:spacing w:line="578" w:lineRule="exact"/>
        <w:ind w:firstLine="640" w:firstLineChars="200"/>
        <w:rPr>
          <w:rFonts w:hint="eastAsia" w:ascii="仿宋_GB2312" w:hAnsi="ˎ̥" w:eastAsia="仿宋_GB2312"/>
          <w:sz w:val="32"/>
          <w:szCs w:val="32"/>
        </w:rPr>
      </w:pPr>
      <w:r>
        <w:rPr>
          <w:rFonts w:hint="eastAsia" w:ascii="仿宋_GB2312" w:hAnsi="ˎ̥" w:eastAsia="仿宋_GB2312"/>
          <w:color w:val="auto"/>
          <w:sz w:val="32"/>
          <w:szCs w:val="32"/>
        </w:rPr>
        <w:t>公务接待费支出决算数比预算数增加（减少）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无发生变化数</w:t>
      </w:r>
      <w:r>
        <w:rPr>
          <w:rFonts w:ascii="仿宋_GB2312" w:hAnsi="ˎ̥" w:eastAsia="仿宋_GB2312"/>
          <w:color w:val="auto"/>
          <w:sz w:val="32"/>
          <w:szCs w:val="32"/>
        </w:rPr>
        <w:t>，</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没有发生相关支出数据</w:t>
      </w:r>
      <w:r>
        <w:rPr>
          <w:rFonts w:hint="eastAsia" w:ascii="仿宋_GB2312" w:hAnsi="ˎ̥" w:eastAsia="仿宋_GB2312"/>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64739058">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根据财政预算绩效管理要求，可按照如下格式说明：根据预算管理要求，我单位组织对202</w:t>
      </w:r>
      <w:r>
        <w:rPr>
          <w:rFonts w:hint="eastAsia" w:ascii="仿宋_GB2312" w:eastAsia="仿宋_GB2312"/>
          <w:sz w:val="32"/>
          <w:szCs w:val="32"/>
          <w:lang w:val="en-US" w:eastAsia="zh-CN"/>
        </w:rPr>
        <w:t>4</w:t>
      </w:r>
      <w:r>
        <w:rPr>
          <w:rFonts w:hint="eastAsia" w:ascii="仿宋_GB2312" w:eastAsia="仿宋_GB2312"/>
          <w:sz w:val="32"/>
          <w:szCs w:val="32"/>
        </w:rPr>
        <w:t>年度一般公共预算项目支出全面开展绩效自评。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其中，自评项目2个，共涉及资金</w:t>
      </w:r>
      <w:r>
        <w:rPr>
          <w:rFonts w:hint="eastAsia" w:ascii="仿宋_GB2312" w:eastAsia="仿宋_GB2312" w:cs="Times New Roman"/>
          <w:color w:val="000000"/>
          <w:kern w:val="2"/>
          <w:sz w:val="32"/>
          <w:szCs w:val="32"/>
          <w:highlight w:val="none"/>
          <w:lang w:val="en-US" w:eastAsia="zh-CN" w:bidi="ar"/>
        </w:rPr>
        <w:t>147.6</w:t>
      </w:r>
      <w:r>
        <w:rPr>
          <w:rFonts w:hint="eastAsia" w:ascii="仿宋_GB2312" w:hAnsi="Times New Roman" w:eastAsia="仿宋_GB2312" w:cs="Times New Roman"/>
          <w:color w:val="000000"/>
          <w:kern w:val="2"/>
          <w:sz w:val="32"/>
          <w:szCs w:val="32"/>
          <w:highlight w:val="none"/>
          <w:lang w:val="en-US" w:eastAsia="zh-CN" w:bidi="ar"/>
        </w:rPr>
        <w:t>万元，占一般公共预算项目支出总额的</w:t>
      </w:r>
      <w:r>
        <w:rPr>
          <w:rFonts w:hint="eastAsia" w:ascii="仿宋_GB2312" w:eastAsia="仿宋_GB2312" w:cs="Times New Roman"/>
          <w:color w:val="000000"/>
          <w:kern w:val="2"/>
          <w:sz w:val="32"/>
          <w:szCs w:val="32"/>
          <w:highlight w:val="none"/>
          <w:lang w:val="en-US" w:eastAsia="zh-CN" w:bidi="ar"/>
        </w:rPr>
        <w:t>100</w:t>
      </w:r>
      <w:r>
        <w:rPr>
          <w:rFonts w:hint="eastAsia" w:ascii="仿宋_GB2312" w:hAnsi="Times New Roman" w:eastAsia="仿宋_GB2312" w:cs="Times New Roman"/>
          <w:color w:val="000000"/>
          <w:kern w:val="2"/>
          <w:sz w:val="32"/>
          <w:szCs w:val="32"/>
          <w:highlight w:val="none"/>
          <w:lang w:val="en-US" w:eastAsia="zh-CN" w:bidi="ar"/>
        </w:rPr>
        <w:t>%。我单位没有202</w:t>
      </w:r>
      <w:r>
        <w:rPr>
          <w:rFonts w:hint="eastAsia" w:ascii="仿宋_GB2312" w:eastAsia="仿宋_GB2312" w:cs="Times New Roman"/>
          <w:color w:val="000000"/>
          <w:kern w:val="2"/>
          <w:sz w:val="32"/>
          <w:szCs w:val="32"/>
          <w:highlight w:val="none"/>
          <w:lang w:val="en-US" w:eastAsia="zh-CN" w:bidi="ar"/>
        </w:rPr>
        <w:t>4</w:t>
      </w:r>
      <w:r>
        <w:rPr>
          <w:rFonts w:hint="eastAsia" w:ascii="仿宋_GB2312" w:hAnsi="Times New Roman" w:eastAsia="仿宋_GB2312" w:cs="Times New Roman"/>
          <w:color w:val="000000"/>
          <w:kern w:val="2"/>
          <w:sz w:val="32"/>
          <w:szCs w:val="32"/>
          <w:highlight w:val="none"/>
          <w:lang w:val="en-US" w:eastAsia="zh-CN" w:bidi="ar"/>
        </w:rPr>
        <w:t>年度组织政府性基金预算项目。我单位没有202</w:t>
      </w:r>
      <w:r>
        <w:rPr>
          <w:rFonts w:hint="eastAsia" w:ascii="仿宋_GB2312" w:eastAsia="仿宋_GB2312" w:cs="Times New Roman"/>
          <w:color w:val="000000"/>
          <w:kern w:val="2"/>
          <w:sz w:val="32"/>
          <w:szCs w:val="32"/>
          <w:highlight w:val="none"/>
          <w:lang w:val="en-US" w:eastAsia="zh-CN" w:bidi="ar"/>
        </w:rPr>
        <w:t>4</w:t>
      </w:r>
      <w:r>
        <w:rPr>
          <w:rFonts w:hint="eastAsia" w:ascii="仿宋_GB2312" w:hAnsi="Times New Roman" w:eastAsia="仿宋_GB2312" w:cs="Times New Roman"/>
          <w:color w:val="000000"/>
          <w:kern w:val="2"/>
          <w:sz w:val="32"/>
          <w:szCs w:val="32"/>
          <w:highlight w:val="none"/>
          <w:lang w:val="en-US" w:eastAsia="zh-CN" w:bidi="ar"/>
        </w:rPr>
        <w:t>年度组织国有资本经营预算项目。</w:t>
      </w:r>
    </w:p>
    <w:p w14:paraId="24D9B90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共组织对“</w:t>
      </w:r>
      <w:r>
        <w:rPr>
          <w:rFonts w:hint="eastAsia" w:ascii="仿宋_GB2312" w:eastAsia="仿宋_GB2312"/>
          <w:color w:val="000000"/>
          <w:sz w:val="32"/>
          <w:szCs w:val="32"/>
          <w:highlight w:val="none"/>
          <w:lang w:val="en-US" w:eastAsia="zh-CN"/>
        </w:rPr>
        <w:t>森林资源管护、国有林保护修复</w:t>
      </w:r>
      <w:r>
        <w:rPr>
          <w:rFonts w:hint="eastAsia" w:ascii="仿宋_GB2312" w:eastAsia="仿宋_GB2312"/>
          <w:color w:val="000000"/>
          <w:sz w:val="32"/>
          <w:szCs w:val="32"/>
          <w:highlight w:val="none"/>
        </w:rPr>
        <w:t>”等</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个项目</w:t>
      </w:r>
      <w:r>
        <w:rPr>
          <w:rFonts w:hint="eastAsia" w:ascii="仿宋_GB2312" w:eastAsia="仿宋_GB2312"/>
          <w:color w:val="000000"/>
          <w:sz w:val="32"/>
          <w:szCs w:val="32"/>
          <w:highlight w:val="none"/>
          <w:lang w:eastAsia="zh-CN"/>
        </w:rPr>
        <w:t>开展了部门</w:t>
      </w:r>
      <w:r>
        <w:rPr>
          <w:rFonts w:hint="eastAsia" w:ascii="仿宋_GB2312" w:eastAsia="仿宋_GB2312"/>
          <w:color w:val="000000"/>
          <w:sz w:val="32"/>
          <w:szCs w:val="32"/>
          <w:highlight w:val="none"/>
        </w:rPr>
        <w:t>评价，</w:t>
      </w:r>
      <w:r>
        <w:rPr>
          <w:rFonts w:hint="eastAsia" w:ascii="仿宋_GB2312" w:hAnsi="Times New Roman" w:eastAsia="仿宋_GB2312" w:cs="Times New Roman"/>
          <w:color w:val="000000"/>
          <w:kern w:val="2"/>
          <w:sz w:val="32"/>
          <w:szCs w:val="32"/>
          <w:highlight w:val="none"/>
          <w:lang w:val="en-US" w:eastAsia="zh-CN" w:bidi="ar"/>
        </w:rPr>
        <w:t>涉及一般公共预算支出</w:t>
      </w:r>
      <w:r>
        <w:rPr>
          <w:rFonts w:hint="eastAsia" w:ascii="仿宋_GB2312" w:eastAsia="仿宋_GB2312" w:cs="Times New Roman"/>
          <w:color w:val="000000"/>
          <w:kern w:val="2"/>
          <w:sz w:val="32"/>
          <w:szCs w:val="32"/>
          <w:highlight w:val="none"/>
          <w:lang w:val="en-US" w:eastAsia="zh-CN" w:bidi="ar"/>
        </w:rPr>
        <w:t>147.6</w:t>
      </w:r>
      <w:r>
        <w:rPr>
          <w:rFonts w:hint="eastAsia" w:ascii="仿宋_GB2312" w:hAnsi="Times New Roman" w:eastAsia="仿宋_GB2312" w:cs="Times New Roman"/>
          <w:color w:val="000000"/>
          <w:kern w:val="2"/>
          <w:sz w:val="32"/>
          <w:szCs w:val="32"/>
          <w:highlight w:val="none"/>
          <w:lang w:val="en-US" w:eastAsia="zh-CN" w:bidi="ar"/>
        </w:rPr>
        <w:t>万元，政府性基金预算支出0万元，国有资本经营预算支出0万元。</w:t>
      </w:r>
      <w:r>
        <w:rPr>
          <w:rFonts w:hint="eastAsia" w:ascii="仿宋_GB2312" w:eastAsia="仿宋_GB2312"/>
          <w:color w:val="000000"/>
          <w:sz w:val="32"/>
          <w:szCs w:val="32"/>
          <w:highlight w:val="none"/>
        </w:rPr>
        <w:t>从评价情况来看，</w:t>
      </w:r>
      <w:r>
        <w:rPr>
          <w:rFonts w:hint="eastAsia" w:ascii="仿宋_GB2312" w:eastAsia="仿宋_GB2312"/>
          <w:color w:val="000000"/>
          <w:sz w:val="32"/>
          <w:szCs w:val="32"/>
          <w:highlight w:val="none"/>
          <w:lang w:eastAsia="zh-CN"/>
        </w:rPr>
        <w:t>本项目的实施，为做好重点生态公益林保护与管理，加强保护区巡护管护，更好的巡护监测公益林，进一步加大对公益林的保护和监测力度。</w:t>
      </w:r>
    </w:p>
    <w:p w14:paraId="74CA485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完成部门</w:t>
      </w:r>
      <w:r>
        <w:rPr>
          <w:rFonts w:hint="eastAsia" w:ascii="仿宋_GB2312" w:eastAsia="仿宋_GB2312"/>
          <w:color w:val="000000"/>
          <w:sz w:val="32"/>
          <w:szCs w:val="32"/>
          <w:highlight w:val="none"/>
        </w:rPr>
        <w:t>整体支出绩效评价，</w:t>
      </w:r>
      <w:r>
        <w:rPr>
          <w:rFonts w:hint="eastAsia" w:ascii="仿宋_GB2312" w:hAnsi="Times New Roman" w:eastAsia="仿宋_GB2312" w:cs="Times New Roman"/>
          <w:color w:val="000000"/>
          <w:kern w:val="2"/>
          <w:sz w:val="32"/>
          <w:szCs w:val="32"/>
          <w:highlight w:val="none"/>
          <w:lang w:val="en-US" w:eastAsia="zh-CN" w:bidi="ar"/>
        </w:rPr>
        <w:t>涉及一般公共预算支出</w:t>
      </w:r>
      <w:r>
        <w:rPr>
          <w:rFonts w:hint="eastAsia" w:ascii="仿宋_GB2312" w:eastAsia="仿宋_GB2312" w:cs="Times New Roman"/>
          <w:color w:val="000000"/>
          <w:kern w:val="2"/>
          <w:sz w:val="32"/>
          <w:szCs w:val="32"/>
          <w:highlight w:val="none"/>
          <w:lang w:val="en-US" w:eastAsia="zh-CN" w:bidi="ar"/>
        </w:rPr>
        <w:t>147.6</w:t>
      </w:r>
      <w:r>
        <w:rPr>
          <w:rFonts w:hint="eastAsia" w:ascii="仿宋_GB2312" w:hAnsi="Times New Roman" w:eastAsia="仿宋_GB2312" w:cs="Times New Roman"/>
          <w:color w:val="000000"/>
          <w:kern w:val="2"/>
          <w:sz w:val="32"/>
          <w:szCs w:val="32"/>
          <w:highlight w:val="none"/>
          <w:lang w:val="en-US" w:eastAsia="zh-CN" w:bidi="ar"/>
        </w:rPr>
        <w:t>万元，政府性基金预算支出0万元。</w:t>
      </w:r>
      <w:r>
        <w:rPr>
          <w:rFonts w:hint="eastAsia" w:ascii="仿宋_GB2312" w:eastAsia="仿宋_GB2312"/>
          <w:color w:val="000000"/>
          <w:sz w:val="32"/>
          <w:szCs w:val="32"/>
          <w:highlight w:val="none"/>
        </w:rPr>
        <w:t>从评价情况来看，</w:t>
      </w:r>
      <w:r>
        <w:rPr>
          <w:rFonts w:hint="eastAsia" w:ascii="仿宋_GB2312" w:eastAsia="仿宋_GB2312"/>
          <w:color w:val="000000"/>
          <w:sz w:val="32"/>
          <w:szCs w:val="32"/>
          <w:highlight w:val="none"/>
          <w:lang w:val="en-US"/>
        </w:rPr>
        <w:t>202</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lang w:eastAsia="zh-CN"/>
        </w:rPr>
        <w:t>年省财政厅拨付的</w:t>
      </w:r>
      <w:r>
        <w:rPr>
          <w:rFonts w:hint="eastAsia" w:ascii="仿宋_GB2312" w:eastAsia="仿宋_GB2312"/>
          <w:color w:val="000000"/>
          <w:sz w:val="32"/>
          <w:szCs w:val="32"/>
          <w:highlight w:val="none"/>
          <w:lang w:val="en-US" w:eastAsia="zh-CN"/>
        </w:rPr>
        <w:t>森林资源管护、国有林保护修复</w:t>
      </w:r>
      <w:r>
        <w:rPr>
          <w:rFonts w:hint="eastAsia" w:ascii="仿宋_GB2312" w:eastAsia="仿宋_GB2312"/>
          <w:color w:val="000000"/>
          <w:sz w:val="32"/>
          <w:szCs w:val="32"/>
          <w:highlight w:val="none"/>
          <w:lang w:eastAsia="zh-CN"/>
        </w:rPr>
        <w:t>共</w:t>
      </w:r>
      <w:r>
        <w:rPr>
          <w:rFonts w:hint="eastAsia" w:ascii="仿宋_GB2312" w:eastAsia="仿宋_GB2312" w:cs="Times New Roman"/>
          <w:color w:val="000000"/>
          <w:kern w:val="2"/>
          <w:sz w:val="32"/>
          <w:szCs w:val="32"/>
          <w:highlight w:val="none"/>
          <w:lang w:val="en-US" w:eastAsia="zh-CN" w:bidi="ar"/>
        </w:rPr>
        <w:t>147.6</w:t>
      </w:r>
      <w:r>
        <w:rPr>
          <w:rFonts w:hint="eastAsia" w:ascii="仿宋_GB2312" w:eastAsia="仿宋_GB2312"/>
          <w:color w:val="000000"/>
          <w:sz w:val="32"/>
          <w:szCs w:val="32"/>
          <w:highlight w:val="none"/>
          <w:lang w:eastAsia="zh-CN"/>
        </w:rPr>
        <w:t>万元，资金</w:t>
      </w:r>
      <w:r>
        <w:rPr>
          <w:rFonts w:hint="eastAsia" w:ascii="仿宋_GB2312" w:eastAsia="仿宋_GB2312"/>
          <w:color w:val="000000"/>
          <w:sz w:val="32"/>
          <w:szCs w:val="32"/>
          <w:highlight w:val="none"/>
          <w:lang w:val="en-US"/>
        </w:rPr>
        <w:t>100%</w:t>
      </w:r>
      <w:r>
        <w:rPr>
          <w:rFonts w:hint="eastAsia" w:ascii="仿宋_GB2312" w:eastAsia="仿宋_GB2312"/>
          <w:color w:val="000000"/>
          <w:sz w:val="32"/>
          <w:szCs w:val="32"/>
          <w:highlight w:val="none"/>
          <w:lang w:eastAsia="zh-CN"/>
        </w:rPr>
        <w:t>到位。该资金用于解决了公益林管护人员的劳务费及社会保障费，以及公益林公共管护支出和其他公共管护支出。</w:t>
      </w:r>
    </w:p>
    <w:p w14:paraId="16FFC1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2F6A92DA">
      <w:pPr>
        <w:spacing w:line="578" w:lineRule="exact"/>
        <w:ind w:firstLine="640" w:firstLineChars="200"/>
        <w:rPr>
          <w:rFonts w:hint="eastAsia" w:ascii="仿宋_GB2312" w:eastAsia="仿宋_GB2312"/>
          <w:color w:val="auto"/>
          <w:sz w:val="32"/>
          <w:szCs w:val="32"/>
        </w:rPr>
      </w:pPr>
      <w:r>
        <w:rPr>
          <w:rFonts w:hint="eastAsia" w:ascii="仿宋_GB2312" w:eastAsia="仿宋_GB2312"/>
          <w:sz w:val="32"/>
          <w:szCs w:val="32"/>
        </w:rPr>
        <w:t>我单位在部门</w:t>
      </w:r>
      <w:r>
        <w:rPr>
          <w:rFonts w:hint="eastAsia" w:ascii="仿宋_GB2312" w:eastAsia="仿宋_GB2312"/>
          <w:color w:val="auto"/>
          <w:sz w:val="32"/>
          <w:szCs w:val="32"/>
        </w:rPr>
        <w:t>决算中反映</w:t>
      </w:r>
      <w:r>
        <w:rPr>
          <w:rFonts w:hint="eastAsia" w:ascii="仿宋_GB2312" w:eastAsia="仿宋_GB2312"/>
          <w:color w:val="auto"/>
          <w:sz w:val="32"/>
          <w:szCs w:val="32"/>
          <w:highlight w:val="none"/>
          <w:lang w:val="en-US" w:eastAsia="zh-CN"/>
        </w:rPr>
        <w:t>林业改革发展资金</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林业生态保护恢复资金</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个项目绩效自评结果（包括项目绩效自评表）。</w:t>
      </w:r>
    </w:p>
    <w:p w14:paraId="78DF39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000000"/>
          <w:sz w:val="32"/>
          <w:szCs w:val="32"/>
          <w:highlight w:val="none"/>
          <w:lang w:val="en-US" w:eastAsia="zh-CN"/>
        </w:rPr>
        <w:t>森林资源管护</w:t>
      </w:r>
      <w:r>
        <w:rPr>
          <w:rFonts w:hint="eastAsia" w:ascii="仿宋_GB2312" w:eastAsia="仿宋_GB2312"/>
          <w:color w:val="auto"/>
          <w:sz w:val="32"/>
          <w:szCs w:val="32"/>
          <w:highlight w:val="none"/>
          <w:lang w:val="en-US" w:eastAsia="zh-CN"/>
        </w:rPr>
        <w:t>资金</w:t>
      </w:r>
      <w:r>
        <w:rPr>
          <w:rFonts w:hint="eastAsia" w:ascii="仿宋_GB2312" w:eastAsia="仿宋_GB2312"/>
          <w:color w:val="auto"/>
          <w:sz w:val="32"/>
          <w:szCs w:val="32"/>
          <w:highlight w:val="none"/>
          <w:lang w:eastAsia="zh-CN"/>
        </w:rPr>
        <w:t>项目绩效自评表：</w:t>
      </w:r>
      <w:r>
        <w:rPr>
          <w:rFonts w:hint="eastAsia" w:ascii="仿宋_GB2312" w:eastAsia="仿宋_GB2312"/>
          <w:color w:val="auto"/>
          <w:sz w:val="32"/>
          <w:szCs w:val="32"/>
          <w:highlight w:val="none"/>
        </w:rPr>
        <w:t>根据年初设定的绩效目标，项目</w:t>
      </w:r>
      <w:r>
        <w:rPr>
          <w:rFonts w:hint="eastAsia" w:ascii="仿宋_GB2312" w:eastAsia="仿宋_GB2312"/>
          <w:color w:val="auto"/>
          <w:sz w:val="32"/>
          <w:szCs w:val="32"/>
          <w:highlight w:val="none"/>
          <w:lang w:eastAsia="zh-CN"/>
        </w:rPr>
        <w:t>绩效</w:t>
      </w:r>
      <w:r>
        <w:rPr>
          <w:rFonts w:hint="eastAsia" w:ascii="仿宋_GB2312" w:eastAsia="仿宋_GB2312"/>
          <w:color w:val="auto"/>
          <w:sz w:val="32"/>
          <w:szCs w:val="32"/>
          <w:highlight w:val="none"/>
        </w:rPr>
        <w:t>自评得分为</w:t>
      </w:r>
      <w:r>
        <w:rPr>
          <w:rFonts w:hint="eastAsia" w:ascii="仿宋_GB2312" w:eastAsia="仿宋_GB2312"/>
          <w:color w:val="auto"/>
          <w:sz w:val="32"/>
          <w:szCs w:val="32"/>
          <w:highlight w:val="none"/>
          <w:lang w:val="en-US" w:eastAsia="zh-CN"/>
        </w:rPr>
        <w:t>99.27</w:t>
      </w:r>
      <w:r>
        <w:rPr>
          <w:rFonts w:hint="eastAsia" w:ascii="仿宋_GB2312" w:eastAsia="仿宋_GB2312"/>
          <w:color w:val="auto"/>
          <w:sz w:val="32"/>
          <w:szCs w:val="32"/>
          <w:highlight w:val="none"/>
        </w:rPr>
        <w:t>分</w:t>
      </w:r>
      <w:r>
        <w:rPr>
          <w:rFonts w:hint="eastAsia" w:ascii="仿宋_GB2312" w:eastAsia="仿宋_GB2312"/>
          <w:color w:val="auto"/>
          <w:sz w:val="32"/>
          <w:szCs w:val="32"/>
          <w:highlight w:val="none"/>
          <w:lang w:eastAsia="zh-CN"/>
        </w:rPr>
        <w:t>。全年预算数为</w:t>
      </w:r>
      <w:r>
        <w:rPr>
          <w:rFonts w:hint="eastAsia" w:ascii="仿宋_GB2312" w:eastAsia="仿宋_GB2312"/>
          <w:color w:val="auto"/>
          <w:sz w:val="32"/>
          <w:szCs w:val="32"/>
          <w:highlight w:val="none"/>
          <w:lang w:val="en-US" w:eastAsia="zh-CN"/>
        </w:rPr>
        <w:t>122.57</w:t>
      </w:r>
      <w:r>
        <w:rPr>
          <w:rFonts w:hint="eastAsia" w:ascii="仿宋_GB2312" w:eastAsia="仿宋_GB2312"/>
          <w:color w:val="auto"/>
          <w:sz w:val="32"/>
          <w:szCs w:val="32"/>
          <w:highlight w:val="none"/>
          <w:lang w:eastAsia="zh-CN"/>
        </w:rPr>
        <w:t>万元，执行数为</w:t>
      </w:r>
      <w:r>
        <w:rPr>
          <w:rFonts w:hint="eastAsia" w:ascii="仿宋_GB2312" w:eastAsia="仿宋_GB2312"/>
          <w:color w:val="auto"/>
          <w:sz w:val="32"/>
          <w:szCs w:val="32"/>
          <w:highlight w:val="none"/>
          <w:lang w:val="en-US" w:eastAsia="zh-CN"/>
        </w:rPr>
        <w:t>113.61</w:t>
      </w:r>
      <w:r>
        <w:rPr>
          <w:rFonts w:hint="eastAsia" w:ascii="仿宋_GB2312" w:eastAsia="仿宋_GB2312"/>
          <w:color w:val="auto"/>
          <w:sz w:val="32"/>
          <w:szCs w:val="32"/>
          <w:highlight w:val="none"/>
          <w:lang w:eastAsia="zh-CN"/>
        </w:rPr>
        <w:t>万元，完成预算的</w:t>
      </w:r>
      <w:r>
        <w:rPr>
          <w:rFonts w:hint="eastAsia" w:ascii="仿宋_GB2312" w:eastAsia="仿宋_GB2312"/>
          <w:color w:val="auto"/>
          <w:sz w:val="32"/>
          <w:szCs w:val="32"/>
          <w:highlight w:val="none"/>
          <w:lang w:val="en-US" w:eastAsia="zh-CN"/>
        </w:rPr>
        <w:t>92.69%。项目绩效目标完成情况：一是生态公益林管护面积完成率100%；二是公益林管护任务完成率100%；三是森林火灾发生数完成率100%；四是职工满意度完成率100%；</w:t>
      </w:r>
    </w:p>
    <w:p w14:paraId="3DAE81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000000"/>
          <w:sz w:val="32"/>
          <w:szCs w:val="32"/>
          <w:highlight w:val="none"/>
          <w:lang w:val="en-US" w:eastAsia="zh-CN"/>
        </w:rPr>
        <w:t>国有林保护修复</w:t>
      </w:r>
      <w:r>
        <w:rPr>
          <w:rFonts w:hint="eastAsia" w:ascii="仿宋_GB2312" w:eastAsia="仿宋_GB2312"/>
          <w:color w:val="auto"/>
          <w:sz w:val="32"/>
          <w:szCs w:val="32"/>
          <w:highlight w:val="none"/>
          <w:lang w:val="en-US" w:eastAsia="zh-CN"/>
        </w:rPr>
        <w:t>资金</w:t>
      </w:r>
      <w:r>
        <w:rPr>
          <w:rFonts w:hint="eastAsia" w:ascii="仿宋_GB2312" w:eastAsia="仿宋_GB2312"/>
          <w:color w:val="auto"/>
          <w:sz w:val="32"/>
          <w:szCs w:val="32"/>
          <w:highlight w:val="none"/>
          <w:lang w:eastAsia="zh-CN"/>
        </w:rPr>
        <w:t>项目绩效自评表：</w:t>
      </w:r>
      <w:r>
        <w:rPr>
          <w:rFonts w:hint="eastAsia" w:ascii="仿宋_GB2312" w:eastAsia="仿宋_GB2312"/>
          <w:color w:val="auto"/>
          <w:sz w:val="32"/>
          <w:szCs w:val="32"/>
          <w:highlight w:val="none"/>
        </w:rPr>
        <w:t>根</w:t>
      </w:r>
      <w:r>
        <w:rPr>
          <w:rFonts w:hint="eastAsia" w:ascii="仿宋_GB2312" w:eastAsia="仿宋_GB2312"/>
          <w:color w:val="000000"/>
          <w:sz w:val="32"/>
          <w:szCs w:val="32"/>
          <w:highlight w:val="none"/>
        </w:rPr>
        <w:t>据年初设定的绩效目标，项目</w:t>
      </w:r>
      <w:r>
        <w:rPr>
          <w:rFonts w:hint="eastAsia" w:ascii="仿宋_GB2312" w:eastAsia="仿宋_GB2312"/>
          <w:color w:val="000000"/>
          <w:sz w:val="32"/>
          <w:szCs w:val="32"/>
          <w:highlight w:val="none"/>
          <w:lang w:eastAsia="zh-CN"/>
        </w:rPr>
        <w:t>绩效</w:t>
      </w:r>
      <w:r>
        <w:rPr>
          <w:rFonts w:hint="eastAsia" w:ascii="仿宋_GB2312" w:eastAsia="仿宋_GB2312"/>
          <w:color w:val="000000"/>
          <w:sz w:val="32"/>
          <w:szCs w:val="32"/>
          <w:highlight w:val="none"/>
        </w:rPr>
        <w:t>自评得分为</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分</w:t>
      </w:r>
      <w:r>
        <w:rPr>
          <w:rFonts w:hint="eastAsia" w:ascii="仿宋_GB2312" w:eastAsia="仿宋_GB2312"/>
          <w:color w:val="000000"/>
          <w:sz w:val="32"/>
          <w:szCs w:val="32"/>
          <w:highlight w:val="none"/>
          <w:lang w:eastAsia="zh-CN"/>
        </w:rPr>
        <w:t>。全年预算数为</w:t>
      </w:r>
      <w:r>
        <w:rPr>
          <w:rFonts w:hint="eastAsia" w:ascii="仿宋_GB2312" w:eastAsia="仿宋_GB2312"/>
          <w:color w:val="000000"/>
          <w:sz w:val="32"/>
          <w:szCs w:val="32"/>
          <w:highlight w:val="none"/>
          <w:lang w:val="en-US" w:eastAsia="zh-CN"/>
        </w:rPr>
        <w:t>25.03</w:t>
      </w:r>
      <w:r>
        <w:rPr>
          <w:rFonts w:hint="eastAsia" w:ascii="仿宋_GB2312" w:eastAsia="仿宋_GB2312"/>
          <w:color w:val="000000"/>
          <w:sz w:val="32"/>
          <w:szCs w:val="32"/>
          <w:highlight w:val="none"/>
          <w:lang w:eastAsia="zh-CN"/>
        </w:rPr>
        <w:t>万元，执行数为</w:t>
      </w:r>
      <w:r>
        <w:rPr>
          <w:rFonts w:hint="eastAsia" w:ascii="仿宋_GB2312" w:eastAsia="仿宋_GB2312"/>
          <w:color w:val="000000"/>
          <w:sz w:val="32"/>
          <w:szCs w:val="32"/>
          <w:highlight w:val="none"/>
          <w:lang w:val="en-US" w:eastAsia="zh-CN"/>
        </w:rPr>
        <w:t>25.03</w:t>
      </w:r>
      <w:r>
        <w:rPr>
          <w:rFonts w:hint="eastAsia" w:ascii="仿宋_GB2312" w:eastAsia="仿宋_GB2312"/>
          <w:color w:val="000000"/>
          <w:sz w:val="32"/>
          <w:szCs w:val="32"/>
          <w:highlight w:val="none"/>
          <w:lang w:eastAsia="zh-CN"/>
        </w:rPr>
        <w:t>万元，完成预算的</w:t>
      </w:r>
      <w:r>
        <w:rPr>
          <w:rFonts w:hint="eastAsia" w:ascii="仿宋_GB2312" w:eastAsia="仿宋_GB2312"/>
          <w:color w:val="000000"/>
          <w:sz w:val="32"/>
          <w:szCs w:val="32"/>
          <w:highlight w:val="none"/>
          <w:lang w:val="en-US" w:eastAsia="zh-CN"/>
        </w:rPr>
        <w:t>100%。项目绩效目标完成情况：</w:t>
      </w:r>
      <w:r>
        <w:rPr>
          <w:rFonts w:hint="eastAsia" w:ascii="仿宋_GB2312" w:eastAsia="仿宋_GB2312"/>
          <w:color w:val="auto"/>
          <w:sz w:val="32"/>
          <w:szCs w:val="32"/>
          <w:highlight w:val="none"/>
          <w:lang w:val="en-US" w:eastAsia="zh-CN"/>
        </w:rPr>
        <w:t>一是生态公益林管护面积完成率100%；二是公益林管护任务完成率100%；三是森林火灾发生数完成率100%；四是职工满意度完成率100%；</w:t>
      </w:r>
    </w:p>
    <w:p w14:paraId="3AF948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发现的主要问题及原因：暂无。下一步改进措施：暂无。</w:t>
      </w:r>
    </w:p>
    <w:p w14:paraId="61B205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w:t>
      </w:r>
    </w:p>
    <w:p w14:paraId="0E38C28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无该项业务。</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5190B3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无该项业务。</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7" w:name="_Toc5978_WPSOffice_Level2"/>
      <w:bookmarkStart w:id="98" w:name="_Toc18325_WPSOffice_Level2"/>
      <w:bookmarkStart w:id="99" w:name="_Toc23598_WPSOffice_Level2"/>
      <w:bookmarkStart w:id="100" w:name="_Toc15262_WPSOffice_Level2"/>
      <w:bookmarkStart w:id="101" w:name="_Toc15565_WPSOffice_Level2"/>
      <w:bookmarkStart w:id="102" w:name="_Toc32639_WPSOffice_Level2"/>
      <w:r>
        <w:rPr>
          <w:rFonts w:hint="eastAsia" w:ascii="楷体" w:hAnsi="楷体" w:eastAsia="楷体" w:cs="楷体"/>
          <w:bCs/>
          <w:sz w:val="32"/>
          <w:szCs w:val="32"/>
        </w:rPr>
        <w:t>（一）机关运行经费支出情况</w:t>
      </w:r>
      <w:bookmarkEnd w:id="97"/>
      <w:bookmarkEnd w:id="98"/>
      <w:bookmarkEnd w:id="99"/>
      <w:bookmarkEnd w:id="100"/>
      <w:bookmarkEnd w:id="101"/>
      <w:bookmarkEnd w:id="102"/>
    </w:p>
    <w:p w14:paraId="6DA44B76">
      <w:pPr>
        <w:spacing w:line="578" w:lineRule="exact"/>
        <w:ind w:firstLine="640" w:firstLineChars="200"/>
        <w:rPr>
          <w:rFonts w:hint="eastAsia" w:ascii="仿宋_GB2312" w:hAnsi="ˎ̥" w:eastAsia="仿宋_GB2312"/>
          <w:color w:val="000000"/>
          <w:sz w:val="32"/>
          <w:szCs w:val="32"/>
          <w:highlight w:val="none"/>
          <w:lang w:eastAsia="zh-CN"/>
        </w:rPr>
      </w:pPr>
      <w:bookmarkStart w:id="103" w:name="_Toc23966_WPSOffice_Level2"/>
      <w:bookmarkStart w:id="104" w:name="_Toc30383_WPSOffice_Level2"/>
      <w:bookmarkStart w:id="105" w:name="_Toc32689_WPSOffice_Level2"/>
      <w:bookmarkStart w:id="106" w:name="_Toc25333_WPSOffice_Level2"/>
      <w:bookmarkStart w:id="107" w:name="_Toc3131_WPSOffice_Level2"/>
      <w:bookmarkStart w:id="108" w:name="_Toc13084_WPSOffice_Level2"/>
      <w:r>
        <w:rPr>
          <w:rFonts w:hint="eastAsia" w:ascii="仿宋_GB2312" w:hAnsi="ˎ̥" w:eastAsia="仿宋_GB2312"/>
          <w:color w:val="000000"/>
          <w:sz w:val="32"/>
          <w:szCs w:val="32"/>
          <w:highlight w:val="none"/>
          <w:lang w:eastAsia="zh-CN"/>
        </w:rPr>
        <w:t>我单位为公益一类事业单位，本年度没有发生机关运行经费支出。</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03"/>
      <w:bookmarkEnd w:id="104"/>
      <w:bookmarkEnd w:id="105"/>
      <w:bookmarkEnd w:id="106"/>
      <w:bookmarkEnd w:id="107"/>
      <w:bookmarkEnd w:id="108"/>
    </w:p>
    <w:p w14:paraId="1F828278">
      <w:pPr>
        <w:spacing w:line="578" w:lineRule="exact"/>
        <w:ind w:firstLine="640" w:firstLineChars="200"/>
        <w:jc w:val="left"/>
        <w:rPr>
          <w:rFonts w:hint="eastAsia" w:ascii="仿宋_GB2312" w:hAnsi="ˎ̥" w:eastAsia="仿宋_GB2312"/>
          <w:color w:val="auto"/>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color w:val="000000"/>
          <w:sz w:val="32"/>
          <w:szCs w:val="32"/>
          <w:highlight w:val="none"/>
          <w:lang w:eastAsia="zh-CN"/>
        </w:rPr>
        <w:t>海南会</w:t>
      </w:r>
      <w:r>
        <w:rPr>
          <w:rFonts w:hint="eastAsia" w:ascii="仿宋_GB2312" w:hAnsi="ˎ̥" w:eastAsia="仿宋_GB2312"/>
          <w:color w:val="auto"/>
          <w:sz w:val="32"/>
          <w:szCs w:val="32"/>
          <w:highlight w:val="none"/>
          <w:lang w:eastAsia="zh-CN"/>
        </w:rPr>
        <w:t>山省级自然保护区管理站</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9" w:name="_Toc527_WPSOffice_Level2"/>
      <w:bookmarkStart w:id="110" w:name="_Toc10902_WPSOffice_Level2"/>
      <w:bookmarkStart w:id="111" w:name="_Toc19989_WPSOffice_Level2"/>
      <w:bookmarkStart w:id="112" w:name="_Toc29584_WPSOffice_Level2"/>
      <w:bookmarkStart w:id="113" w:name="_Toc15129_WPSOffice_Level2"/>
      <w:bookmarkStart w:id="114" w:name="_Toc6016_WPSOffice_Level2"/>
      <w:r>
        <w:rPr>
          <w:rFonts w:hint="eastAsia" w:ascii="楷体" w:hAnsi="楷体" w:eastAsia="楷体" w:cs="楷体"/>
          <w:bCs/>
          <w:sz w:val="32"/>
          <w:szCs w:val="32"/>
        </w:rPr>
        <w:t>（三）国有资产占用情况</w:t>
      </w:r>
      <w:bookmarkEnd w:id="109"/>
      <w:bookmarkEnd w:id="110"/>
      <w:bookmarkEnd w:id="111"/>
      <w:bookmarkEnd w:id="112"/>
      <w:bookmarkEnd w:id="113"/>
      <w:bookmarkEnd w:id="114"/>
    </w:p>
    <w:p w14:paraId="3559F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eastAsia="zh-CN"/>
        </w:rPr>
      </w:pPr>
      <w:bookmarkStart w:id="115" w:name="_Toc4398_WPSOffice_Level1"/>
      <w:bookmarkStart w:id="116" w:name="_Toc8808_WPSOffice_Level1"/>
      <w:bookmarkStart w:id="117" w:name="_Toc11039_WPSOffice_Level1"/>
      <w:bookmarkStart w:id="118" w:name="_Toc17580_WPSOffice_Level1"/>
      <w:bookmarkStart w:id="119" w:name="_Toc8874_WPSOffice_Level1"/>
      <w:bookmarkStart w:id="120" w:name="_Toc15425_WPSOffice_Level1"/>
      <w:r>
        <w:rPr>
          <w:rFonts w:hint="eastAsia" w:ascii="仿宋_GB2312" w:hAnsi="ˎ̥" w:eastAsia="仿宋_GB2312"/>
          <w:bCs/>
          <w:color w:val="000000"/>
          <w:sz w:val="32"/>
          <w:szCs w:val="32"/>
          <w:highlight w:val="none"/>
        </w:rPr>
        <w:t>截至202</w:t>
      </w:r>
      <w:r>
        <w:rPr>
          <w:rFonts w:hint="eastAsia" w:ascii="仿宋_GB2312" w:hAnsi="ˎ̥" w:eastAsia="仿宋_GB2312"/>
          <w:bCs/>
          <w:color w:val="000000"/>
          <w:sz w:val="32"/>
          <w:szCs w:val="32"/>
          <w:highlight w:val="none"/>
          <w:lang w:val="en-US" w:eastAsia="zh-CN"/>
        </w:rPr>
        <w:t>4</w:t>
      </w:r>
      <w:r>
        <w:rPr>
          <w:rFonts w:hint="eastAsia" w:ascii="仿宋_GB2312" w:hAnsi="ˎ̥" w:eastAsia="仿宋_GB2312"/>
          <w:bCs/>
          <w:color w:val="000000"/>
          <w:sz w:val="32"/>
          <w:szCs w:val="32"/>
          <w:highlight w:val="none"/>
        </w:rPr>
        <w:t>年12月31日，本部门拥有</w:t>
      </w:r>
      <w:r>
        <w:rPr>
          <w:rFonts w:hint="eastAsia" w:ascii="仿宋_GB2312" w:hAnsi="ˎ̥" w:eastAsia="仿宋_GB2312"/>
          <w:color w:val="000000"/>
          <w:sz w:val="32"/>
          <w:szCs w:val="32"/>
          <w:highlight w:val="none"/>
        </w:rPr>
        <w:t>房屋面积</w:t>
      </w:r>
      <w:r>
        <w:rPr>
          <w:rFonts w:hint="eastAsia" w:ascii="仿宋_GB2312" w:hAnsi="ˎ̥" w:eastAsia="仿宋_GB2312"/>
          <w:color w:val="000000"/>
          <w:sz w:val="32"/>
          <w:szCs w:val="32"/>
          <w:highlight w:val="none"/>
          <w:lang w:val="en-US" w:eastAsia="zh-CN"/>
        </w:rPr>
        <w:t>773.67</w:t>
      </w:r>
      <w:r>
        <w:rPr>
          <w:rFonts w:hint="eastAsia" w:ascii="仿宋_GB2312" w:hAnsi="ˎ̥" w:eastAsia="仿宋_GB2312"/>
          <w:color w:val="000000"/>
          <w:sz w:val="32"/>
          <w:szCs w:val="32"/>
          <w:highlight w:val="none"/>
        </w:rPr>
        <w:t>平方米，其中：</w:t>
      </w:r>
      <w:r>
        <w:rPr>
          <w:rFonts w:hint="eastAsia" w:ascii="仿宋_GB2312" w:hAnsi="ˎ̥" w:eastAsia="仿宋_GB2312"/>
          <w:color w:val="000000"/>
          <w:sz w:val="32"/>
          <w:szCs w:val="32"/>
          <w:highlight w:val="none"/>
          <w:lang w:val="en-US"/>
        </w:rPr>
        <w:t>1</w:t>
      </w:r>
      <w:r>
        <w:rPr>
          <w:rFonts w:hint="eastAsia" w:ascii="仿宋_GB2312" w:hAnsi="ˎ̥" w:eastAsia="仿宋_GB2312"/>
          <w:color w:val="000000"/>
          <w:sz w:val="32"/>
          <w:szCs w:val="32"/>
          <w:highlight w:val="none"/>
          <w:lang w:eastAsia="zh-CN"/>
        </w:rPr>
        <w:t>栋办公楼，</w:t>
      </w:r>
      <w:r>
        <w:rPr>
          <w:rFonts w:hint="eastAsia" w:ascii="仿宋_GB2312" w:hAnsi="ˎ̥" w:eastAsia="仿宋_GB2312"/>
          <w:color w:val="000000"/>
          <w:sz w:val="32"/>
          <w:szCs w:val="32"/>
          <w:highlight w:val="none"/>
          <w:lang w:val="en-US"/>
        </w:rPr>
        <w:t>8</w:t>
      </w:r>
      <w:r>
        <w:rPr>
          <w:rFonts w:hint="eastAsia" w:ascii="仿宋_GB2312" w:hAnsi="ˎ̥" w:eastAsia="仿宋_GB2312"/>
          <w:color w:val="000000"/>
          <w:sz w:val="32"/>
          <w:szCs w:val="32"/>
          <w:highlight w:val="none"/>
          <w:lang w:eastAsia="zh-CN"/>
        </w:rPr>
        <w:t>间，第三方评估建筑面积</w:t>
      </w:r>
      <w:r>
        <w:rPr>
          <w:rFonts w:hint="eastAsia" w:ascii="仿宋_GB2312" w:hAnsi="ˎ̥" w:eastAsia="仿宋_GB2312"/>
          <w:color w:val="000000"/>
          <w:sz w:val="32"/>
          <w:szCs w:val="32"/>
          <w:highlight w:val="none"/>
          <w:lang w:val="en-US"/>
        </w:rPr>
        <w:t>355.97</w:t>
      </w:r>
      <w:r>
        <w:rPr>
          <w:rFonts w:hint="eastAsia" w:ascii="仿宋_GB2312" w:hAnsi="ˎ̥" w:eastAsia="仿宋_GB2312"/>
          <w:color w:val="000000"/>
          <w:sz w:val="32"/>
          <w:szCs w:val="32"/>
          <w:highlight w:val="none"/>
          <w:lang w:eastAsia="zh-CN"/>
        </w:rPr>
        <w:t>平；</w:t>
      </w:r>
      <w:r>
        <w:rPr>
          <w:rFonts w:hint="eastAsia" w:ascii="仿宋_GB2312" w:hAnsi="ˎ̥" w:eastAsia="仿宋_GB2312"/>
          <w:color w:val="000000"/>
          <w:sz w:val="32"/>
          <w:szCs w:val="32"/>
          <w:highlight w:val="none"/>
          <w:lang w:val="en-US"/>
        </w:rPr>
        <w:t>1</w:t>
      </w:r>
      <w:r>
        <w:rPr>
          <w:rFonts w:hint="eastAsia" w:ascii="仿宋_GB2312" w:hAnsi="ˎ̥" w:eastAsia="仿宋_GB2312"/>
          <w:color w:val="000000"/>
          <w:sz w:val="32"/>
          <w:szCs w:val="32"/>
          <w:highlight w:val="none"/>
          <w:lang w:eastAsia="zh-CN"/>
        </w:rPr>
        <w:t>栋办公用房，</w:t>
      </w:r>
      <w:r>
        <w:rPr>
          <w:rFonts w:hint="eastAsia" w:ascii="仿宋_GB2312" w:hAnsi="ˎ̥" w:eastAsia="仿宋_GB2312"/>
          <w:color w:val="000000"/>
          <w:sz w:val="32"/>
          <w:szCs w:val="32"/>
          <w:highlight w:val="none"/>
          <w:lang w:val="en-US"/>
        </w:rPr>
        <w:t>4</w:t>
      </w:r>
      <w:r>
        <w:rPr>
          <w:rFonts w:hint="eastAsia" w:ascii="仿宋_GB2312" w:hAnsi="ˎ̥" w:eastAsia="仿宋_GB2312"/>
          <w:color w:val="000000"/>
          <w:sz w:val="32"/>
          <w:szCs w:val="32"/>
          <w:highlight w:val="none"/>
          <w:lang w:eastAsia="zh-CN"/>
        </w:rPr>
        <w:t>间，建筑面积</w:t>
      </w:r>
      <w:r>
        <w:rPr>
          <w:rFonts w:hint="eastAsia" w:ascii="仿宋_GB2312" w:hAnsi="ˎ̥" w:eastAsia="仿宋_GB2312"/>
          <w:color w:val="000000"/>
          <w:sz w:val="32"/>
          <w:szCs w:val="32"/>
          <w:highlight w:val="none"/>
          <w:lang w:val="en-US"/>
        </w:rPr>
        <w:t>197.22</w:t>
      </w:r>
      <w:r>
        <w:rPr>
          <w:rFonts w:hint="eastAsia" w:ascii="仿宋_GB2312" w:hAnsi="ˎ̥" w:eastAsia="仿宋_GB2312"/>
          <w:color w:val="000000"/>
          <w:sz w:val="32"/>
          <w:szCs w:val="32"/>
          <w:highlight w:val="none"/>
          <w:lang w:eastAsia="zh-CN"/>
        </w:rPr>
        <w:t>平；</w:t>
      </w:r>
      <w:r>
        <w:rPr>
          <w:rFonts w:hint="eastAsia" w:ascii="仿宋_GB2312" w:hAnsi="ˎ̥" w:eastAsia="仿宋_GB2312"/>
          <w:color w:val="000000"/>
          <w:sz w:val="32"/>
          <w:szCs w:val="32"/>
          <w:highlight w:val="none"/>
          <w:lang w:val="en-US"/>
        </w:rPr>
        <w:t>1</w:t>
      </w:r>
      <w:r>
        <w:rPr>
          <w:rFonts w:hint="eastAsia" w:ascii="仿宋_GB2312" w:hAnsi="ˎ̥" w:eastAsia="仿宋_GB2312"/>
          <w:color w:val="000000"/>
          <w:sz w:val="32"/>
          <w:szCs w:val="32"/>
          <w:highlight w:val="none"/>
          <w:lang w:eastAsia="zh-CN"/>
        </w:rPr>
        <w:t>栋加略护林站点，</w:t>
      </w:r>
      <w:r>
        <w:rPr>
          <w:rFonts w:hint="eastAsia" w:ascii="仿宋_GB2312" w:hAnsi="ˎ̥" w:eastAsia="仿宋_GB2312"/>
          <w:color w:val="000000"/>
          <w:sz w:val="32"/>
          <w:szCs w:val="32"/>
          <w:highlight w:val="none"/>
          <w:lang w:val="en-US"/>
        </w:rPr>
        <w:t>3</w:t>
      </w:r>
      <w:r>
        <w:rPr>
          <w:rFonts w:hint="eastAsia" w:ascii="仿宋_GB2312" w:hAnsi="ˎ̥" w:eastAsia="仿宋_GB2312"/>
          <w:color w:val="000000"/>
          <w:sz w:val="32"/>
          <w:szCs w:val="32"/>
          <w:highlight w:val="none"/>
          <w:lang w:eastAsia="zh-CN"/>
        </w:rPr>
        <w:t>间，建筑面积</w:t>
      </w:r>
      <w:r>
        <w:rPr>
          <w:rFonts w:hint="eastAsia" w:ascii="仿宋_GB2312" w:hAnsi="ˎ̥" w:eastAsia="仿宋_GB2312"/>
          <w:color w:val="000000"/>
          <w:sz w:val="32"/>
          <w:szCs w:val="32"/>
          <w:highlight w:val="none"/>
          <w:lang w:val="en-US"/>
        </w:rPr>
        <w:t>93.61</w:t>
      </w:r>
      <w:r>
        <w:rPr>
          <w:rFonts w:hint="eastAsia" w:ascii="仿宋_GB2312" w:hAnsi="ˎ̥" w:eastAsia="仿宋_GB2312"/>
          <w:color w:val="000000"/>
          <w:sz w:val="32"/>
          <w:szCs w:val="32"/>
          <w:highlight w:val="none"/>
          <w:lang w:eastAsia="zh-CN"/>
        </w:rPr>
        <w:t>平；</w:t>
      </w:r>
      <w:r>
        <w:rPr>
          <w:rFonts w:hint="eastAsia" w:ascii="仿宋_GB2312" w:hAnsi="ˎ̥" w:eastAsia="仿宋_GB2312"/>
          <w:color w:val="000000"/>
          <w:sz w:val="32"/>
          <w:szCs w:val="32"/>
          <w:highlight w:val="none"/>
          <w:lang w:val="en-US"/>
        </w:rPr>
        <w:t>1</w:t>
      </w:r>
      <w:r>
        <w:rPr>
          <w:rFonts w:hint="eastAsia" w:ascii="仿宋_GB2312" w:hAnsi="ˎ̥" w:eastAsia="仿宋_GB2312"/>
          <w:color w:val="000000"/>
          <w:sz w:val="32"/>
          <w:szCs w:val="32"/>
          <w:highlight w:val="none"/>
          <w:lang w:eastAsia="zh-CN"/>
        </w:rPr>
        <w:t>栋牛路护林站点，</w:t>
      </w:r>
      <w:r>
        <w:rPr>
          <w:rFonts w:hint="eastAsia" w:ascii="仿宋_GB2312" w:hAnsi="ˎ̥" w:eastAsia="仿宋_GB2312"/>
          <w:color w:val="000000"/>
          <w:sz w:val="32"/>
          <w:szCs w:val="32"/>
          <w:highlight w:val="none"/>
          <w:lang w:val="en-US"/>
        </w:rPr>
        <w:t>3</w:t>
      </w:r>
      <w:r>
        <w:rPr>
          <w:rFonts w:hint="eastAsia" w:ascii="仿宋_GB2312" w:hAnsi="ˎ̥" w:eastAsia="仿宋_GB2312"/>
          <w:color w:val="000000"/>
          <w:sz w:val="32"/>
          <w:szCs w:val="32"/>
          <w:highlight w:val="none"/>
          <w:lang w:eastAsia="zh-CN"/>
        </w:rPr>
        <w:t>间，建筑面积</w:t>
      </w:r>
      <w:r>
        <w:rPr>
          <w:rFonts w:hint="eastAsia" w:ascii="仿宋_GB2312" w:hAnsi="ˎ̥" w:eastAsia="仿宋_GB2312"/>
          <w:color w:val="000000"/>
          <w:sz w:val="32"/>
          <w:szCs w:val="32"/>
          <w:highlight w:val="none"/>
          <w:lang w:val="en-US"/>
        </w:rPr>
        <w:t>93.61</w:t>
      </w:r>
      <w:r>
        <w:rPr>
          <w:rFonts w:hint="eastAsia" w:ascii="仿宋_GB2312" w:hAnsi="ˎ̥" w:eastAsia="仿宋_GB2312"/>
          <w:color w:val="000000"/>
          <w:sz w:val="32"/>
          <w:szCs w:val="32"/>
          <w:highlight w:val="none"/>
          <w:lang w:eastAsia="zh-CN"/>
        </w:rPr>
        <w:t>平；</w:t>
      </w:r>
      <w:r>
        <w:rPr>
          <w:rFonts w:hint="eastAsia" w:ascii="仿宋_GB2312" w:hAnsi="ˎ̥" w:eastAsia="仿宋_GB2312"/>
          <w:color w:val="000000"/>
          <w:sz w:val="32"/>
          <w:szCs w:val="32"/>
          <w:highlight w:val="none"/>
          <w:lang w:val="en-US"/>
        </w:rPr>
        <w:t>1</w:t>
      </w:r>
      <w:r>
        <w:rPr>
          <w:rFonts w:hint="eastAsia" w:ascii="仿宋_GB2312" w:hAnsi="ˎ̥" w:eastAsia="仿宋_GB2312"/>
          <w:color w:val="000000"/>
          <w:sz w:val="32"/>
          <w:szCs w:val="32"/>
          <w:highlight w:val="none"/>
          <w:lang w:eastAsia="zh-CN"/>
        </w:rPr>
        <w:t>栋官寮坡护林站点，</w:t>
      </w:r>
      <w:r>
        <w:rPr>
          <w:rFonts w:hint="eastAsia" w:ascii="仿宋_GB2312" w:hAnsi="ˎ̥" w:eastAsia="仿宋_GB2312"/>
          <w:color w:val="000000"/>
          <w:sz w:val="32"/>
          <w:szCs w:val="32"/>
          <w:highlight w:val="none"/>
          <w:lang w:val="en-US"/>
        </w:rPr>
        <w:t>3</w:t>
      </w:r>
      <w:r>
        <w:rPr>
          <w:rFonts w:hint="eastAsia" w:ascii="仿宋_GB2312" w:hAnsi="ˎ̥" w:eastAsia="仿宋_GB2312"/>
          <w:color w:val="000000"/>
          <w:sz w:val="32"/>
          <w:szCs w:val="32"/>
          <w:highlight w:val="none"/>
          <w:lang w:eastAsia="zh-CN"/>
        </w:rPr>
        <w:t>间，建筑面积</w:t>
      </w:r>
      <w:r>
        <w:rPr>
          <w:rFonts w:hint="eastAsia" w:ascii="仿宋_GB2312" w:hAnsi="ˎ̥" w:eastAsia="仿宋_GB2312"/>
          <w:color w:val="000000"/>
          <w:sz w:val="32"/>
          <w:szCs w:val="32"/>
          <w:highlight w:val="none"/>
          <w:lang w:val="en-US"/>
        </w:rPr>
        <w:t>93.61</w:t>
      </w:r>
      <w:r>
        <w:rPr>
          <w:rFonts w:hint="eastAsia" w:ascii="仿宋_GB2312" w:hAnsi="ˎ̥" w:eastAsia="仿宋_GB2312"/>
          <w:color w:val="000000"/>
          <w:sz w:val="32"/>
          <w:szCs w:val="32"/>
          <w:highlight w:val="none"/>
          <w:lang w:eastAsia="zh-CN"/>
        </w:rPr>
        <w:t>平。</w:t>
      </w:r>
    </w:p>
    <w:p w14:paraId="4C33E75E">
      <w:pPr>
        <w:spacing w:line="578" w:lineRule="exact"/>
        <w:ind w:left="0" w:firstLine="640" w:firstLineChars="200"/>
        <w:rPr>
          <w:rFonts w:hint="default" w:ascii="仿宋_GB2312" w:hAnsi="ˎ̥" w:eastAsia="仿宋_GB2312" w:cs="仿宋_GB2312"/>
          <w:sz w:val="32"/>
          <w:szCs w:val="32"/>
          <w:lang w:val="en-US"/>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2</w:t>
      </w:r>
      <w:r>
        <w:rPr>
          <w:rFonts w:hint="eastAsia" w:ascii="仿宋_GB2312" w:hAnsi="ˎ̥" w:eastAsia="仿宋_GB2312"/>
          <w:color w:val="000000"/>
          <w:sz w:val="32"/>
          <w:szCs w:val="32"/>
          <w:highlight w:val="none"/>
        </w:rPr>
        <w:t>辆</w:t>
      </w:r>
      <w:r>
        <w:rPr>
          <w:rFonts w:hint="eastAsia" w:ascii="仿宋_GB2312" w:hAnsi="ˎ̥" w:eastAsia="仿宋_GB2312"/>
          <w:color w:val="000000"/>
          <w:sz w:val="32"/>
          <w:szCs w:val="32"/>
          <w:highlight w:val="none"/>
          <w:lang w:eastAsia="zh-CN"/>
        </w:rPr>
        <w:t>，</w:t>
      </w:r>
      <w:r>
        <w:rPr>
          <w:rFonts w:hint="eastAsia" w:ascii="仿宋_GB2312" w:hAnsi="ˎ̥" w:eastAsia="仿宋_GB2312"/>
          <w:color w:val="000000"/>
          <w:sz w:val="32"/>
          <w:szCs w:val="32"/>
          <w:highlight w:val="none"/>
        </w:rPr>
        <w:t>其中，</w:t>
      </w:r>
      <w:r>
        <w:rPr>
          <w:rFonts w:hint="default" w:ascii="仿宋_GB2312" w:hAnsi="ˎ̥" w:eastAsia="仿宋_GB2312" w:cs="仿宋_GB2312"/>
          <w:sz w:val="32"/>
          <w:szCs w:val="32"/>
          <w:lang w:eastAsia="zh-CN"/>
        </w:rPr>
        <w:t>从车辆种类说明：其他车型</w:t>
      </w:r>
      <w:r>
        <w:rPr>
          <w:rFonts w:hint="default" w:ascii="仿宋_GB2312" w:hAnsi="ˎ̥" w:eastAsia="仿宋_GB2312" w:cs="仿宋_GB2312"/>
          <w:sz w:val="32"/>
          <w:szCs w:val="32"/>
          <w:lang w:val="en-US"/>
        </w:rPr>
        <w:t>2</w:t>
      </w:r>
      <w:r>
        <w:rPr>
          <w:rFonts w:hint="default" w:ascii="仿宋_GB2312" w:hAnsi="ˎ̥" w:eastAsia="仿宋_GB2312" w:cs="仿宋_GB2312"/>
          <w:sz w:val="32"/>
          <w:szCs w:val="32"/>
          <w:lang w:eastAsia="zh-CN"/>
        </w:rPr>
        <w:t>辆，其他车型主要是护林防火专用</w:t>
      </w:r>
      <w:r>
        <w:rPr>
          <w:rFonts w:hint="default" w:ascii="仿宋_GB2312" w:hAnsi="ˎ̥" w:eastAsia="仿宋_GB2312" w:cs="仿宋_GB2312"/>
          <w:sz w:val="32"/>
          <w:szCs w:val="32"/>
          <w:lang w:val="en-US"/>
        </w:rPr>
        <w:t>4</w:t>
      </w:r>
      <w:r>
        <w:rPr>
          <w:rFonts w:hint="default" w:ascii="仿宋_GB2312" w:hAnsi="ˎ̥" w:eastAsia="仿宋_GB2312" w:cs="仿宋_GB2312"/>
          <w:sz w:val="32"/>
          <w:szCs w:val="32"/>
          <w:lang w:eastAsia="zh-CN"/>
        </w:rPr>
        <w:t>轮宣传车；从车辆使用情况说明：其他用车</w:t>
      </w:r>
      <w:r>
        <w:rPr>
          <w:rFonts w:hint="default" w:ascii="仿宋_GB2312" w:hAnsi="ˎ̥" w:eastAsia="仿宋_GB2312" w:cs="仿宋_GB2312"/>
          <w:sz w:val="32"/>
          <w:szCs w:val="32"/>
          <w:lang w:val="en-US"/>
        </w:rPr>
        <w:t>2</w:t>
      </w:r>
      <w:r>
        <w:rPr>
          <w:rFonts w:hint="default" w:ascii="仿宋_GB2312" w:hAnsi="ˎ̥" w:eastAsia="仿宋_GB2312" w:cs="仿宋_GB2312"/>
          <w:sz w:val="32"/>
          <w:szCs w:val="32"/>
          <w:lang w:eastAsia="zh-CN"/>
        </w:rPr>
        <w:t>辆。</w:t>
      </w:r>
    </w:p>
    <w:p w14:paraId="6CDB28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val="en-US"/>
        </w:rPr>
      </w:pPr>
      <w:r>
        <w:rPr>
          <w:rFonts w:hint="eastAsia" w:ascii="仿宋_GB2312" w:hAnsi="ˎ̥" w:eastAsia="仿宋_GB2312"/>
          <w:color w:val="000000"/>
          <w:sz w:val="32"/>
          <w:szCs w:val="32"/>
          <w:highlight w:val="none"/>
          <w:lang w:eastAsia="zh-CN"/>
        </w:rPr>
        <w:t>单位价值</w:t>
      </w:r>
      <w:r>
        <w:rPr>
          <w:rFonts w:hint="eastAsia" w:ascii="仿宋_GB2312" w:hAnsi="ˎ̥" w:eastAsia="仿宋_GB2312"/>
          <w:color w:val="000000"/>
          <w:sz w:val="32"/>
          <w:szCs w:val="32"/>
          <w:highlight w:val="none"/>
          <w:lang w:val="en-US"/>
        </w:rPr>
        <w:t>50</w:t>
      </w:r>
      <w:r>
        <w:rPr>
          <w:rFonts w:hint="eastAsia" w:ascii="仿宋_GB2312" w:hAnsi="ˎ̥" w:eastAsia="仿宋_GB2312"/>
          <w:color w:val="000000"/>
          <w:sz w:val="32"/>
          <w:szCs w:val="32"/>
          <w:highlight w:val="none"/>
          <w:lang w:eastAsia="zh-CN"/>
        </w:rPr>
        <w:t>万元（含）以上通用设备</w:t>
      </w:r>
      <w:r>
        <w:rPr>
          <w:rFonts w:hint="eastAsia" w:ascii="仿宋_GB2312" w:hAnsi="ˎ̥" w:eastAsia="仿宋_GB2312"/>
          <w:color w:val="000000"/>
          <w:sz w:val="32"/>
          <w:szCs w:val="32"/>
          <w:highlight w:val="none"/>
          <w:lang w:val="en-US"/>
        </w:rPr>
        <w:t>0</w:t>
      </w:r>
      <w:r>
        <w:rPr>
          <w:rFonts w:hint="eastAsia" w:ascii="仿宋_GB2312" w:hAnsi="ˎ̥" w:eastAsia="仿宋_GB2312"/>
          <w:color w:val="000000"/>
          <w:sz w:val="32"/>
          <w:szCs w:val="32"/>
          <w:highlight w:val="none"/>
          <w:lang w:eastAsia="zh-CN"/>
        </w:rPr>
        <w:t>台（套），单价</w:t>
      </w:r>
      <w:r>
        <w:rPr>
          <w:rFonts w:hint="eastAsia" w:ascii="仿宋_GB2312" w:hAnsi="ˎ̥" w:eastAsia="仿宋_GB2312"/>
          <w:color w:val="000000"/>
          <w:sz w:val="32"/>
          <w:szCs w:val="32"/>
          <w:highlight w:val="none"/>
          <w:lang w:val="en-US"/>
        </w:rPr>
        <w:t>100</w:t>
      </w:r>
      <w:r>
        <w:rPr>
          <w:rFonts w:hint="eastAsia" w:ascii="仿宋_GB2312" w:hAnsi="ˎ̥" w:eastAsia="仿宋_GB2312"/>
          <w:color w:val="000000"/>
          <w:sz w:val="32"/>
          <w:szCs w:val="32"/>
          <w:highlight w:val="none"/>
          <w:lang w:eastAsia="zh-CN"/>
        </w:rPr>
        <w:t>万元（含）以上专用设备</w:t>
      </w:r>
      <w:r>
        <w:rPr>
          <w:rFonts w:hint="eastAsia" w:ascii="仿宋_GB2312" w:hAnsi="ˎ̥" w:eastAsia="仿宋_GB2312"/>
          <w:color w:val="000000"/>
          <w:sz w:val="32"/>
          <w:szCs w:val="32"/>
          <w:highlight w:val="none"/>
          <w:lang w:val="en-US"/>
        </w:rPr>
        <w:t>0</w:t>
      </w:r>
      <w:r>
        <w:rPr>
          <w:rFonts w:hint="eastAsia" w:ascii="仿宋_GB2312" w:hAnsi="ˎ̥" w:eastAsia="仿宋_GB2312"/>
          <w:color w:val="000000"/>
          <w:sz w:val="32"/>
          <w:szCs w:val="32"/>
          <w:highlight w:val="none"/>
          <w:lang w:eastAsia="zh-CN"/>
        </w:rPr>
        <w:t>台（套）。</w:t>
      </w:r>
    </w:p>
    <w:p w14:paraId="3DF6DC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val="en-US"/>
        </w:rPr>
      </w:pPr>
      <w:r>
        <w:rPr>
          <w:rFonts w:hint="eastAsia" w:ascii="仿宋_GB2312" w:hAnsi="ˎ̥" w:eastAsia="仿宋_GB2312"/>
          <w:color w:val="000000"/>
          <w:sz w:val="32"/>
          <w:szCs w:val="32"/>
          <w:highlight w:val="none"/>
          <w:lang w:eastAsia="zh-CN"/>
        </w:rPr>
        <w:t>年末无在建工程。</w:t>
      </w: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5"/>
      <w:bookmarkEnd w:id="116"/>
      <w:bookmarkEnd w:id="117"/>
      <w:bookmarkEnd w:id="118"/>
      <w:bookmarkEnd w:id="119"/>
      <w:bookmarkEnd w:id="120"/>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58E9525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7DE82BE3">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rPr>
        <w:t>；</w:t>
      </w:r>
    </w:p>
    <w:p w14:paraId="7B40D61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color w:val="FF0000"/>
          <w:sz w:val="32"/>
          <w:szCs w:val="32"/>
        </w:rPr>
        <w:t>XXXX</w:t>
      </w:r>
      <w:r>
        <w:rPr>
          <w:rFonts w:hint="eastAsia" w:ascii="仿宋_GB2312" w:hAnsi="ˎ̥" w:eastAsia="仿宋_GB2312"/>
          <w:sz w:val="32"/>
          <w:szCs w:val="32"/>
        </w:rPr>
        <w:t>（类）</w:t>
      </w:r>
      <w:r>
        <w:rPr>
          <w:rFonts w:hint="eastAsia" w:ascii="仿宋_GB2312" w:hAnsi="ˎ̥" w:eastAsia="仿宋_GB2312"/>
          <w:color w:val="FF0000"/>
          <w:sz w:val="32"/>
          <w:szCs w:val="32"/>
        </w:rPr>
        <w:t>XXXX</w:t>
      </w:r>
      <w:r>
        <w:rPr>
          <w:rFonts w:hint="eastAsia" w:ascii="仿宋_GB2312" w:hAnsi="ˎ̥" w:eastAsia="仿宋_GB2312"/>
          <w:sz w:val="32"/>
          <w:szCs w:val="32"/>
        </w:rPr>
        <w:t>（款）</w:t>
      </w:r>
      <w:r>
        <w:rPr>
          <w:rFonts w:hint="eastAsia" w:ascii="仿宋_GB2312" w:hAnsi="ˎ̥" w:eastAsia="仿宋_GB2312"/>
          <w:color w:val="FF0000"/>
          <w:sz w:val="32"/>
          <w:szCs w:val="32"/>
        </w:rPr>
        <w:t>XXXX</w:t>
      </w:r>
      <w:r>
        <w:rPr>
          <w:rFonts w:hint="eastAsia" w:ascii="仿宋_GB2312" w:hAnsi="ˎ̥" w:eastAsia="仿宋_GB2312"/>
          <w:sz w:val="32"/>
          <w:szCs w:val="32"/>
        </w:rPr>
        <w:t>（项），</w:t>
      </w:r>
      <w:r>
        <w:rPr>
          <w:rFonts w:ascii="仿宋_GB2312" w:hAnsi="ˎ̥" w:eastAsia="仿宋_GB2312"/>
          <w:sz w:val="32"/>
          <w:szCs w:val="32"/>
        </w:rPr>
        <w:t>……</w:t>
      </w:r>
      <w:r>
        <w:rPr>
          <w:rFonts w:hint="eastAsia" w:ascii="仿宋_GB2312" w:hAnsi="ˎ̥" w:eastAsia="仿宋_GB2312"/>
          <w:sz w:val="32"/>
          <w:szCs w:val="32"/>
          <w:lang w:eastAsia="zh-CN"/>
        </w:rPr>
        <w:t>。</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A7359"/>
    <w:multiLevelType w:val="singleLevel"/>
    <w:tmpl w:val="999A7359"/>
    <w:lvl w:ilvl="0" w:tentative="0">
      <w:start w:val="1"/>
      <w:numFmt w:val="chineseCounting"/>
      <w:suff w:val="nothing"/>
      <w:lvlText w:val="%1、"/>
      <w:lvlJc w:val="left"/>
      <w:rPr>
        <w:rFonts w:hint="eastAsia"/>
      </w:r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A32B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C670CE3"/>
    <w:rsid w:val="0FC80124"/>
    <w:rsid w:val="108B0D18"/>
    <w:rsid w:val="136F98C7"/>
    <w:rsid w:val="13FA68E0"/>
    <w:rsid w:val="17427E68"/>
    <w:rsid w:val="1755065F"/>
    <w:rsid w:val="1AC82C7D"/>
    <w:rsid w:val="1AFC29C9"/>
    <w:rsid w:val="1CA52F2E"/>
    <w:rsid w:val="1CDE3150"/>
    <w:rsid w:val="1E3630B9"/>
    <w:rsid w:val="1F012339"/>
    <w:rsid w:val="26EEC2B5"/>
    <w:rsid w:val="27AA6B0F"/>
    <w:rsid w:val="29472309"/>
    <w:rsid w:val="29F00112"/>
    <w:rsid w:val="2A742AF1"/>
    <w:rsid w:val="2B406E77"/>
    <w:rsid w:val="2C2A0C43"/>
    <w:rsid w:val="2D1E73A5"/>
    <w:rsid w:val="2FF26266"/>
    <w:rsid w:val="32717154"/>
    <w:rsid w:val="34371578"/>
    <w:rsid w:val="34B63260"/>
    <w:rsid w:val="37FDA7E2"/>
    <w:rsid w:val="385555E4"/>
    <w:rsid w:val="3A314D88"/>
    <w:rsid w:val="3A746883"/>
    <w:rsid w:val="3CA15DE9"/>
    <w:rsid w:val="3EAD3381"/>
    <w:rsid w:val="3FE61EE5"/>
    <w:rsid w:val="40077B0C"/>
    <w:rsid w:val="406508EE"/>
    <w:rsid w:val="408D6263"/>
    <w:rsid w:val="41B40CEE"/>
    <w:rsid w:val="48317291"/>
    <w:rsid w:val="485F7024"/>
    <w:rsid w:val="48E70666"/>
    <w:rsid w:val="4C6877E5"/>
    <w:rsid w:val="4D6A468D"/>
    <w:rsid w:val="4EA86137"/>
    <w:rsid w:val="4F3B332E"/>
    <w:rsid w:val="56CA7FD0"/>
    <w:rsid w:val="57790E97"/>
    <w:rsid w:val="57FA38D1"/>
    <w:rsid w:val="5A5D684E"/>
    <w:rsid w:val="5CD1707F"/>
    <w:rsid w:val="5F7D3333"/>
    <w:rsid w:val="61385890"/>
    <w:rsid w:val="62D022B3"/>
    <w:rsid w:val="67177D85"/>
    <w:rsid w:val="687436E1"/>
    <w:rsid w:val="69731BEA"/>
    <w:rsid w:val="6CD15DD8"/>
    <w:rsid w:val="6DA45C50"/>
    <w:rsid w:val="6E9A7825"/>
    <w:rsid w:val="6F670F9B"/>
    <w:rsid w:val="737450E0"/>
    <w:rsid w:val="74054476"/>
    <w:rsid w:val="742F38C4"/>
    <w:rsid w:val="747800B5"/>
    <w:rsid w:val="74AB66DC"/>
    <w:rsid w:val="74C4154C"/>
    <w:rsid w:val="75956FFF"/>
    <w:rsid w:val="77AA2D01"/>
    <w:rsid w:val="7AAE5B4C"/>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6898</Words>
  <Characters>7545</Characters>
  <Lines>67</Lines>
  <Paragraphs>18</Paragraphs>
  <TotalTime>1053</TotalTime>
  <ScaleCrop>false</ScaleCrop>
  <LinksUpToDate>false</LinksUpToDate>
  <CharactersWithSpaces>7613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彬彬有礼</cp:lastModifiedBy>
  <cp:lastPrinted>2023-08-03T00:58:00Z</cp:lastPrinted>
  <dcterms:modified xsi:type="dcterms:W3CDTF">2025-09-09T03:18:59Z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03AE7F14E2DC4BACB053764200FF950D_13</vt:lpwstr>
  </property>
  <property fmtid="{D5CDD505-2E9C-101B-9397-08002B2CF9AE}" pid="4" name="KSOTemplateDocerSaveRecord">
    <vt:lpwstr>eyJoZGlkIjoiYjY4MDdhMjYwYWQ2MDBkMzNlZjJiNGQ1MmVkZTNlY2IiLCJ1c2VySWQiOiIzOTA0NDA2NTYifQ==</vt:lpwstr>
  </property>
</Properties>
</file>