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hint="eastAsia"/>
          <w:lang w:eastAsia="zh-CN"/>
        </w:rPr>
      </w:pPr>
    </w:p>
    <w:p>
      <w:pPr>
        <w:spacing w:after="0" w:line="560" w:lineRule="exact"/>
        <w:jc w:val="center"/>
        <w:rPr>
          <w:rFonts w:hint="eastAsia" w:ascii="方正公文小标宋" w:hAnsi="方正公文小标宋" w:eastAsia="方正公文小标宋" w:cs="方正公文小标宋"/>
          <w:b w:val="0"/>
          <w:bCs w:val="0"/>
          <w:spacing w:val="6"/>
          <w:sz w:val="44"/>
          <w:szCs w:val="44"/>
          <w:lang w:eastAsia="zh-CN"/>
        </w:rPr>
      </w:pPr>
      <w:r>
        <w:rPr>
          <w:rFonts w:hint="eastAsia" w:ascii="方正公文小标宋" w:hAnsi="方正公文小标宋" w:eastAsia="方正公文小标宋" w:cs="方正公文小标宋"/>
          <w:b w:val="0"/>
          <w:bCs w:val="0"/>
          <w:spacing w:val="6"/>
          <w:sz w:val="44"/>
          <w:szCs w:val="44"/>
          <w:lang w:eastAsia="zh-CN"/>
        </w:rPr>
        <w:t>海南番加省级自然保护区管理站</w:t>
      </w:r>
    </w:p>
    <w:p>
      <w:pPr>
        <w:spacing w:after="0" w:line="560" w:lineRule="exact"/>
        <w:jc w:val="center"/>
        <w:rPr>
          <w:rFonts w:hint="eastAsia" w:ascii="方正公文小标宋" w:hAnsi="方正公文小标宋" w:eastAsia="方正公文小标宋" w:cs="方正公文小标宋"/>
          <w:b w:val="0"/>
          <w:bCs w:val="0"/>
          <w:sz w:val="44"/>
          <w:szCs w:val="44"/>
          <w:lang w:eastAsia="zh-CN"/>
        </w:rPr>
      </w:pPr>
      <w:r>
        <w:rPr>
          <w:rFonts w:hint="eastAsia" w:ascii="方正公文小标宋" w:hAnsi="方正公文小标宋" w:eastAsia="方正公文小标宋" w:cs="方正公文小标宋"/>
          <w:b w:val="0"/>
          <w:bCs w:val="0"/>
          <w:spacing w:val="6"/>
          <w:sz w:val="44"/>
          <w:szCs w:val="44"/>
          <w:lang w:eastAsia="zh-CN"/>
        </w:rPr>
        <w:t>2024年度部</w:t>
      </w:r>
      <w:r>
        <w:rPr>
          <w:rFonts w:hint="eastAsia" w:ascii="方正公文小标宋" w:hAnsi="方正公文小标宋" w:eastAsia="方正公文小标宋" w:cs="方正公文小标宋"/>
          <w:b w:val="0"/>
          <w:bCs w:val="0"/>
          <w:spacing w:val="3"/>
          <w:sz w:val="44"/>
          <w:szCs w:val="44"/>
          <w:lang w:eastAsia="zh-CN"/>
        </w:rPr>
        <w:t>门决算公开报告</w:t>
      </w:r>
    </w:p>
    <w:p>
      <w:pPr>
        <w:spacing w:after="0" w:line="560" w:lineRule="exact"/>
        <w:ind w:left="2911"/>
        <w:rPr>
          <w:rFonts w:ascii="黑体" w:hAnsi="黑体" w:eastAsia="黑体" w:cs="黑体"/>
          <w:sz w:val="43"/>
          <w:szCs w:val="43"/>
          <w:lang w:eastAsia="zh-CN"/>
        </w:rPr>
      </w:pPr>
    </w:p>
    <w:p>
      <w:pPr>
        <w:spacing w:after="0" w:line="560" w:lineRule="exact"/>
        <w:ind w:left="2911"/>
        <w:rPr>
          <w:rFonts w:hint="eastAsia" w:ascii="黑体" w:hAnsi="黑体" w:eastAsia="黑体" w:cs="黑体"/>
          <w:sz w:val="43"/>
          <w:szCs w:val="43"/>
          <w:lang w:eastAsia="zh-CN"/>
        </w:rPr>
      </w:pPr>
    </w:p>
    <w:sdt>
      <w:sdtPr>
        <w:rPr>
          <w:rFonts w:ascii="黑体" w:hAnsi="黑体" w:eastAsia="黑体" w:cs="黑体"/>
          <w:sz w:val="43"/>
          <w:szCs w:val="43"/>
        </w:rPr>
        <w:id w:val="534855564"/>
        <w:docPartObj>
          <w:docPartGallery w:val="Table of Contents"/>
          <w:docPartUnique/>
        </w:docPartObj>
      </w:sdtPr>
      <w:sdtEndPr>
        <w:rPr>
          <w:rFonts w:hint="eastAsia" w:ascii="仿宋_GB2312" w:hAnsi="仿宋_GB2312" w:eastAsia="仿宋_GB2312" w:cs="仿宋_GB2312"/>
          <w:snapToGrid w:val="0"/>
          <w:color w:val="000000"/>
          <w:sz w:val="32"/>
          <w:szCs w:val="32"/>
          <w:lang w:val="en-US" w:eastAsia="zh-CN" w:bidi="ar-SA"/>
        </w:rPr>
      </w:sdtEndPr>
      <w:sdtContent>
        <w:p>
          <w:pPr>
            <w:spacing w:after="0" w:line="560" w:lineRule="exact"/>
            <w:ind w:left="3822"/>
            <w:rPr>
              <w:rFonts w:hint="eastAsia" w:ascii="黑体" w:hAnsi="黑体" w:eastAsia="黑体" w:cs="黑体"/>
              <w:sz w:val="43"/>
              <w:szCs w:val="43"/>
              <w:lang w:eastAsia="zh-CN"/>
            </w:rPr>
          </w:pPr>
          <w:r>
            <w:rPr>
              <w:rFonts w:ascii="黑体" w:hAnsi="黑体" w:eastAsia="黑体" w:cs="黑体"/>
              <w:spacing w:val="-32"/>
              <w:sz w:val="43"/>
              <w:szCs w:val="43"/>
              <w:lang w:eastAsia="zh-CN"/>
            </w:rPr>
            <w:t>目</w:t>
          </w:r>
          <w:r>
            <w:rPr>
              <w:rFonts w:ascii="黑体" w:hAnsi="黑体" w:eastAsia="黑体" w:cs="黑体"/>
              <w:spacing w:val="15"/>
              <w:sz w:val="43"/>
              <w:szCs w:val="43"/>
              <w:lang w:eastAsia="zh-CN"/>
            </w:rPr>
            <w:t xml:space="preserve">  </w:t>
          </w:r>
          <w:r>
            <w:rPr>
              <w:rFonts w:ascii="黑体" w:hAnsi="黑体" w:eastAsia="黑体" w:cs="黑体"/>
              <w:spacing w:val="-32"/>
              <w:sz w:val="43"/>
              <w:szCs w:val="43"/>
              <w:lang w:eastAsia="zh-CN"/>
            </w:rPr>
            <w:t>录</w:t>
          </w:r>
        </w:p>
        <w:p>
          <w:pPr>
            <w:tabs>
              <w:tab w:val="right" w:leader="dot" w:pos="8292"/>
            </w:tabs>
            <w:spacing w:after="0" w:line="560" w:lineRule="exact"/>
            <w:rPr>
              <w:rFonts w:ascii="Times New Roman" w:hAnsi="Times New Roman" w:eastAsia="Times New Roman" w:cs="Times New Roman"/>
              <w:sz w:val="31"/>
              <w:szCs w:val="31"/>
              <w:lang w:eastAsia="zh-CN"/>
            </w:rPr>
          </w:pPr>
          <w:r>
            <w:fldChar w:fldCharType="begin"/>
          </w:r>
          <w:r>
            <w:instrText xml:space="preserve"> HYPERLINK \l "bookmark1" </w:instrText>
          </w:r>
          <w:r>
            <w:fldChar w:fldCharType="separate"/>
          </w:r>
          <w:r>
            <w:rPr>
              <w:rFonts w:ascii="黑体" w:hAnsi="黑体" w:eastAsia="黑体" w:cs="黑体"/>
              <w:spacing w:val="7"/>
              <w:sz w:val="31"/>
              <w:szCs w:val="31"/>
              <w:lang w:eastAsia="zh-CN"/>
            </w:rPr>
            <w:t>第一部分 基本情况</w:t>
          </w:r>
          <w:r>
            <w:rPr>
              <w:rFonts w:ascii="黑体" w:hAnsi="黑体" w:eastAsia="黑体" w:cs="黑体"/>
              <w:sz w:val="31"/>
              <w:szCs w:val="31"/>
              <w:lang w:eastAsia="zh-CN"/>
            </w:rPr>
            <w:tab/>
          </w:r>
          <w:r>
            <w:rPr>
              <w:rFonts w:ascii="黑体" w:hAnsi="黑体" w:eastAsia="黑体" w:cs="黑体"/>
              <w:sz w:val="31"/>
              <w:szCs w:val="31"/>
              <w:lang w:eastAsia="zh-CN"/>
            </w:rPr>
            <w:fldChar w:fldCharType="end"/>
          </w:r>
          <w:r>
            <w:rPr>
              <w:rFonts w:hint="eastAsia" w:ascii="仿宋_GB2312" w:hAnsi="仿宋_GB2312" w:eastAsia="仿宋_GB2312" w:cs="仿宋_GB2312"/>
              <w:snapToGrid w:val="0"/>
              <w:color w:val="000000"/>
              <w:sz w:val="32"/>
              <w:szCs w:val="32"/>
              <w:lang w:val="en-US" w:eastAsia="zh-CN" w:bidi="ar-SA"/>
            </w:rPr>
            <w:t>2</w:t>
          </w:r>
        </w:p>
        <w:p>
          <w:pPr>
            <w:pStyle w:val="2"/>
            <w:tabs>
              <w:tab w:val="right" w:leader="dot" w:pos="8292"/>
            </w:tabs>
            <w:spacing w:after="0" w:line="560" w:lineRule="exact"/>
            <w:ind w:left="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7"/>
              <w:sz w:val="32"/>
              <w:szCs w:val="32"/>
              <w:lang w:eastAsia="zh-CN"/>
            </w:rPr>
            <w:t>一、部门（单位）职责</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napToGrid w:val="0"/>
              <w:color w:val="000000"/>
              <w:sz w:val="32"/>
              <w:szCs w:val="32"/>
              <w:lang w:val="en-US" w:eastAsia="zh-CN" w:bidi="ar-SA"/>
            </w:rPr>
            <w:t>2</w:t>
          </w:r>
        </w:p>
        <w:p>
          <w:pPr>
            <w:pStyle w:val="2"/>
            <w:tabs>
              <w:tab w:val="right" w:leader="dot" w:pos="8292"/>
            </w:tabs>
            <w:spacing w:after="0" w:line="560" w:lineRule="exact"/>
            <w:ind w:left="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二、机构设置</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fldChar w:fldCharType="end"/>
          </w:r>
        </w:p>
        <w:p>
          <w:pPr>
            <w:tabs>
              <w:tab w:val="right" w:leader="dot" w:pos="8292"/>
            </w:tabs>
            <w:spacing w:after="0" w:line="560" w:lineRule="exact"/>
            <w:rPr>
              <w:rFonts w:ascii="Times New Roman" w:hAnsi="Times New Roman" w:eastAsia="Times New Roman" w:cs="Times New Roman"/>
              <w:sz w:val="31"/>
              <w:szCs w:val="31"/>
              <w:lang w:eastAsia="zh-CN"/>
            </w:rPr>
          </w:pPr>
          <w:r>
            <w:fldChar w:fldCharType="begin"/>
          </w:r>
          <w:r>
            <w:instrText xml:space="preserve"> HYPERLINK \l "bookmark4" </w:instrText>
          </w:r>
          <w:r>
            <w:fldChar w:fldCharType="separate"/>
          </w:r>
          <w:r>
            <w:rPr>
              <w:rFonts w:ascii="黑体" w:hAnsi="黑体" w:eastAsia="黑体" w:cs="黑体"/>
              <w:spacing w:val="7"/>
              <w:sz w:val="31"/>
              <w:szCs w:val="31"/>
              <w:lang w:eastAsia="zh-CN"/>
            </w:rPr>
            <w:t>第二部分 2024年度部门决算公开表</w:t>
          </w:r>
          <w:r>
            <w:rPr>
              <w:rFonts w:ascii="黑体" w:hAnsi="黑体" w:eastAsia="黑体" w:cs="黑体"/>
              <w:sz w:val="31"/>
              <w:szCs w:val="31"/>
              <w:lang w:eastAsia="zh-CN"/>
            </w:rPr>
            <w:tab/>
          </w:r>
          <w:r>
            <w:rPr>
              <w:rFonts w:ascii="黑体" w:hAnsi="黑体" w:eastAsia="黑体" w:cs="黑体"/>
              <w:sz w:val="31"/>
              <w:szCs w:val="31"/>
              <w:lang w:eastAsia="zh-CN"/>
            </w:rPr>
            <w:fldChar w:fldCharType="end"/>
          </w:r>
          <w:r>
            <w:rPr>
              <w:rFonts w:hint="eastAsia" w:ascii="仿宋_GB2312" w:hAnsi="仿宋_GB2312" w:eastAsia="仿宋_GB2312" w:cs="仿宋_GB2312"/>
              <w:snapToGrid w:val="0"/>
              <w:color w:val="000000"/>
              <w:sz w:val="32"/>
              <w:szCs w:val="32"/>
              <w:lang w:val="en-US" w:eastAsia="zh-CN" w:bidi="ar-SA"/>
            </w:rPr>
            <w:t>2</w:t>
          </w:r>
        </w:p>
        <w:p>
          <w:pPr>
            <w:tabs>
              <w:tab w:val="right" w:leader="dot" w:pos="8292"/>
            </w:tabs>
            <w:spacing w:after="0" w:line="560" w:lineRule="exact"/>
            <w:rPr>
              <w:rFonts w:hint="eastAsia" w:ascii="仿宋_GB2312" w:hAnsi="仿宋_GB2312" w:eastAsia="仿宋_GB2312" w:cs="仿宋_GB2312"/>
              <w:snapToGrid w:val="0"/>
              <w:color w:val="000000"/>
              <w:sz w:val="32"/>
              <w:szCs w:val="32"/>
              <w:lang w:val="en-US" w:eastAsia="zh-CN" w:bidi="ar-SA"/>
            </w:rPr>
          </w:pPr>
          <w:r>
            <w:fldChar w:fldCharType="begin"/>
          </w:r>
          <w:r>
            <w:instrText xml:space="preserve"> HYPERLINK \l "bookmark5" </w:instrText>
          </w:r>
          <w:r>
            <w:fldChar w:fldCharType="separate"/>
          </w:r>
          <w:r>
            <w:rPr>
              <w:rFonts w:ascii="黑体" w:hAnsi="黑体" w:eastAsia="黑体" w:cs="黑体"/>
              <w:spacing w:val="7"/>
              <w:sz w:val="31"/>
              <w:szCs w:val="31"/>
              <w:lang w:eastAsia="zh-CN"/>
            </w:rPr>
            <w:t>第三部分 2024年度部门决算情况说明</w:t>
          </w:r>
          <w:r>
            <w:rPr>
              <w:rFonts w:ascii="黑体" w:hAnsi="黑体" w:eastAsia="黑体" w:cs="黑体"/>
              <w:sz w:val="31"/>
              <w:szCs w:val="31"/>
              <w:lang w:eastAsia="zh-CN"/>
            </w:rPr>
            <w:tab/>
          </w:r>
          <w:r>
            <w:rPr>
              <w:rFonts w:ascii="黑体" w:hAnsi="黑体" w:eastAsia="黑体" w:cs="黑体"/>
              <w:sz w:val="31"/>
              <w:szCs w:val="31"/>
              <w:lang w:eastAsia="zh-CN"/>
            </w:rPr>
            <w:fldChar w:fldCharType="end"/>
          </w:r>
          <w:r>
            <w:rPr>
              <w:rFonts w:hint="eastAsia" w:ascii="仿宋_GB2312" w:hAnsi="仿宋_GB2312" w:eastAsia="仿宋_GB2312" w:cs="仿宋_GB2312"/>
              <w:snapToGrid w:val="0"/>
              <w:color w:val="000000"/>
              <w:sz w:val="32"/>
              <w:szCs w:val="32"/>
              <w:lang w:val="en-US" w:eastAsia="zh-CN" w:bidi="ar-SA"/>
            </w:rPr>
            <w:t>3</w:t>
          </w:r>
        </w:p>
        <w:p>
          <w:pPr>
            <w:pStyle w:val="2"/>
            <w:tabs>
              <w:tab w:val="right" w:leader="dot" w:pos="8292"/>
            </w:tabs>
            <w:spacing w:after="0" w:line="560" w:lineRule="exact"/>
            <w:ind w:left="1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一、收入支出总体情况说明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napToGrid w:val="0"/>
              <w:color w:val="000000"/>
              <w:sz w:val="32"/>
              <w:szCs w:val="32"/>
              <w:lang w:val="en-US" w:eastAsia="zh-CN" w:bidi="ar-SA"/>
            </w:rPr>
            <w:t>3</w:t>
          </w:r>
        </w:p>
        <w:p>
          <w:pPr>
            <w:pStyle w:val="2"/>
            <w:tabs>
              <w:tab w:val="right" w:leader="dot" w:pos="8292"/>
            </w:tabs>
            <w:spacing w:after="0" w:line="560" w:lineRule="exact"/>
            <w:ind w:left="1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二、收入决算情况说明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4</w:t>
          </w:r>
        </w:p>
        <w:p>
          <w:pPr>
            <w:pStyle w:val="2"/>
            <w:tabs>
              <w:tab w:val="right" w:leader="dot" w:pos="8292"/>
            </w:tabs>
            <w:spacing w:after="0" w:line="560" w:lineRule="exact"/>
            <w:ind w:left="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三、支出决算情况说明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4</w:t>
          </w:r>
        </w:p>
        <w:p>
          <w:pPr>
            <w:pStyle w:val="2"/>
            <w:tabs>
              <w:tab w:val="right" w:leader="dot" w:pos="8292"/>
            </w:tabs>
            <w:spacing w:after="0" w:line="560" w:lineRule="exact"/>
            <w:ind w:left="1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四、财政拨款收入支出决算情况说明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4</w:t>
          </w:r>
        </w:p>
        <w:p>
          <w:pPr>
            <w:pStyle w:val="2"/>
            <w:tabs>
              <w:tab w:val="right" w:leader="dot" w:pos="8292"/>
            </w:tabs>
            <w:spacing w:after="0" w:line="560" w:lineRule="exact"/>
            <w:ind w:left="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五、一般公共预算财政拨款支出决算情况说明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5</w:t>
          </w:r>
        </w:p>
        <w:p>
          <w:pPr>
            <w:pStyle w:val="2"/>
            <w:tabs>
              <w:tab w:val="right" w:leader="dot" w:pos="8292"/>
            </w:tabs>
            <w:spacing w:after="0" w:line="560" w:lineRule="exact"/>
            <w:ind w:left="1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六、一般公共预算财政拨款基本支出决算情况说明</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6</w:t>
          </w:r>
        </w:p>
        <w:p>
          <w:pPr>
            <w:pStyle w:val="2"/>
            <w:tabs>
              <w:tab w:val="right" w:leader="dot" w:pos="8292"/>
            </w:tabs>
            <w:spacing w:after="0" w:line="560" w:lineRule="exact"/>
            <w:ind w:left="1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"bookmark12"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七、政府性基金预算财政拨款支出决算情况说明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fldChar w:fldCharType="end"/>
          </w:r>
        </w:p>
        <w:p>
          <w:pPr>
            <w:pStyle w:val="2"/>
            <w:tabs>
              <w:tab w:val="right" w:leader="dot" w:pos="8292"/>
            </w:tabs>
            <w:spacing w:after="0" w:line="560" w:lineRule="exact"/>
            <w:ind w:left="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八、国有资本经营预算财政拨款支出决算情况说明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fldChar w:fldCharType="end"/>
          </w:r>
        </w:p>
        <w:p>
          <w:pPr>
            <w:pStyle w:val="2"/>
            <w:tabs>
              <w:tab w:val="right" w:leader="dot" w:pos="8292"/>
            </w:tabs>
            <w:spacing w:after="0" w:line="560" w:lineRule="exact"/>
            <w:ind w:left="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九、财政拨款“三公”经费支出决算情况说明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9</w:t>
          </w:r>
        </w:p>
        <w:p>
          <w:pPr>
            <w:pStyle w:val="2"/>
            <w:tabs>
              <w:tab w:val="right" w:leader="dot" w:pos="8292"/>
            </w:tabs>
            <w:spacing w:after="0" w:line="560" w:lineRule="exact"/>
            <w:ind w:left="1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十、预算绩效情况说明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val="en-US" w:eastAsia="zh-CN"/>
            </w:rPr>
            <w:t>11</w:t>
          </w:r>
        </w:p>
        <w:p>
          <w:pPr>
            <w:pStyle w:val="2"/>
            <w:tabs>
              <w:tab w:val="right" w:leader="dot" w:pos="8292"/>
            </w:tabs>
            <w:spacing w:after="0" w:line="560" w:lineRule="exact"/>
            <w:ind w:left="13"/>
            <w:rPr>
              <w:rFonts w:hint="eastAsia" w:ascii="仿宋" w:hAnsi="仿宋" w:eastAsia="仿宋" w:cs="仿宋"/>
              <w:snapToGrid w:val="0"/>
              <w:color w:val="000000"/>
              <w:sz w:val="31"/>
              <w:szCs w:val="31"/>
              <w:lang w:val="en-US" w:eastAsia="zh-CN" w:bidi="ar-SA"/>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"bookmark16"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十一、其他重要事项情况说明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fldChar w:fldCharType="end"/>
          </w:r>
        </w:p>
        <w:p>
          <w:pPr>
            <w:tabs>
              <w:tab w:val="right" w:leader="dot" w:pos="8292"/>
            </w:tabs>
            <w:spacing w:after="0" w:line="560" w:lineRule="exact"/>
            <w:rPr>
              <w:rFonts w:hint="eastAsia" w:ascii="仿宋_GB2312" w:hAnsi="仿宋_GB2312" w:eastAsia="仿宋_GB2312" w:cs="仿宋_GB2312"/>
              <w:snapToGrid w:val="0"/>
              <w:color w:val="000000"/>
              <w:sz w:val="32"/>
              <w:szCs w:val="32"/>
              <w:lang w:val="en-US" w:eastAsia="zh-CN" w:bidi="ar-SA"/>
            </w:rPr>
            <w:sectPr>
              <w:footerReference r:id="rId4" w:type="default"/>
              <w:pgSz w:w="11906" w:h="16839"/>
              <w:pgMar w:top="1431" w:right="1607" w:bottom="1156" w:left="1598" w:header="0" w:footer="994" w:gutter="0"/>
              <w:pgNumType w:fmt="decimal"/>
              <w:cols w:space="720" w:num="1"/>
            </w:sectPr>
          </w:pPr>
          <w:bookmarkStart w:id="0" w:name="bookmark1"/>
          <w:bookmarkEnd w:id="0"/>
          <w:bookmarkStart w:id="1" w:name="bookmark2"/>
          <w:bookmarkEnd w:id="1"/>
          <w:r>
            <w:fldChar w:fldCharType="begin"/>
          </w:r>
          <w:r>
            <w:rPr>
              <w:lang w:eastAsia="zh-CN"/>
            </w:rPr>
            <w:instrText xml:space="preserve">HYPERLINK \l "bookmark17"</w:instrText>
          </w:r>
          <w:r>
            <w:fldChar w:fldCharType="separate"/>
          </w:r>
          <w:r>
            <w:rPr>
              <w:rFonts w:ascii="黑体" w:hAnsi="黑体" w:eastAsia="黑体" w:cs="黑体"/>
              <w:spacing w:val="7"/>
              <w:sz w:val="31"/>
              <w:szCs w:val="31"/>
              <w:lang w:eastAsia="zh-CN"/>
            </w:rPr>
            <w:t>第四部分 名词解释</w:t>
          </w:r>
          <w:r>
            <w:rPr>
              <w:rFonts w:ascii="黑体" w:hAnsi="黑体" w:eastAsia="黑体" w:cs="黑体"/>
              <w:sz w:val="31"/>
              <w:szCs w:val="31"/>
              <w:lang w:eastAsia="zh-CN"/>
            </w:rPr>
            <w:tab/>
          </w:r>
          <w:r>
            <w:rPr>
              <w:rFonts w:hint="eastAsia" w:ascii="仿宋_GB2312" w:hAnsi="仿宋_GB2312" w:eastAsia="仿宋_GB2312" w:cs="仿宋_GB2312"/>
              <w:snapToGrid w:val="0"/>
              <w:color w:val="000000"/>
              <w:sz w:val="32"/>
              <w:szCs w:val="32"/>
              <w:lang w:val="en-US" w:eastAsia="zh-CN" w:bidi="ar-SA"/>
            </w:rPr>
            <w:t>1</w:t>
          </w:r>
          <w:r>
            <w:fldChar w:fldCharType="end"/>
          </w:r>
          <w:r>
            <w:rPr>
              <w:rFonts w:hint="eastAsia" w:ascii="仿宋_GB2312" w:hAnsi="仿宋_GB2312" w:eastAsia="仿宋_GB2312" w:cs="仿宋_GB2312"/>
              <w:snapToGrid w:val="0"/>
              <w:color w:val="000000"/>
              <w:sz w:val="32"/>
              <w:szCs w:val="32"/>
              <w:lang w:val="en-US" w:eastAsia="zh-CN" w:bidi="ar-SA"/>
            </w:rPr>
            <w:t>3</w:t>
          </w:r>
        </w:p>
      </w:sdtContent>
    </w:sdt>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0"/>
        <w:textAlignment w:val="baseline"/>
        <w:rPr>
          <w:rFonts w:hint="eastAsia"/>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outlineLvl w:val="0"/>
        <w:rPr>
          <w:rFonts w:hint="eastAsia" w:ascii="黑体" w:hAnsi="黑体" w:eastAsia="黑体" w:cs="黑体"/>
          <w:sz w:val="32"/>
          <w:szCs w:val="32"/>
          <w:lang w:eastAsia="zh-CN"/>
        </w:rPr>
      </w:pPr>
      <w:bookmarkStart w:id="2" w:name="bookmark4"/>
      <w:bookmarkEnd w:id="2"/>
      <w:r>
        <w:rPr>
          <w:rFonts w:hint="eastAsia" w:ascii="黑体" w:hAnsi="黑体" w:eastAsia="黑体" w:cs="黑体"/>
          <w:spacing w:val="7"/>
          <w:sz w:val="32"/>
          <w:szCs w:val="32"/>
          <w:lang w:eastAsia="zh-CN"/>
        </w:rPr>
        <w:t>第一部分  基本情况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黑体" w:hAnsi="黑体" w:eastAsia="黑体" w:cs="黑体"/>
          <w:spacing w:val="9"/>
          <w:sz w:val="32"/>
          <w:szCs w:val="32"/>
          <w:lang w:eastAsia="zh-CN"/>
        </w:rPr>
      </w:pPr>
      <w:r>
        <w:rPr>
          <w:rFonts w:hint="eastAsia" w:ascii="黑体" w:hAnsi="黑体" w:eastAsia="黑体" w:cs="黑体"/>
          <w:spacing w:val="9"/>
          <w:sz w:val="32"/>
          <w:szCs w:val="32"/>
          <w:lang w:eastAsia="zh-CN"/>
        </w:rPr>
        <w:t>一、海南番加省级自然保护区管理站职责</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楷体" w:hAnsi="楷体" w:eastAsia="楷体" w:cs="楷体"/>
          <w:sz w:val="32"/>
          <w:szCs w:val="32"/>
          <w:lang w:eastAsia="zh-CN"/>
        </w:rPr>
      </w:pPr>
      <w:r>
        <w:rPr>
          <w:rFonts w:hint="eastAsia" w:ascii="楷体" w:hAnsi="楷体" w:eastAsia="楷体" w:cs="楷体"/>
          <w:color w:val="333333"/>
          <w:spacing w:val="9"/>
          <w:sz w:val="32"/>
          <w:szCs w:val="32"/>
          <w:lang w:eastAsia="zh-CN"/>
        </w:rPr>
        <w:t>（一）负责保护区森林资源的保护和建设管理工作。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楷体" w:hAnsi="楷体" w:eastAsia="楷体" w:cs="楷体"/>
          <w:sz w:val="32"/>
          <w:szCs w:val="32"/>
          <w:lang w:eastAsia="zh-CN"/>
        </w:rPr>
      </w:pPr>
      <w:r>
        <w:rPr>
          <w:rFonts w:hint="eastAsia" w:ascii="楷体" w:hAnsi="楷体" w:eastAsia="楷体" w:cs="楷体"/>
          <w:color w:val="333333"/>
          <w:spacing w:val="9"/>
          <w:sz w:val="32"/>
          <w:szCs w:val="32"/>
          <w:lang w:eastAsia="zh-CN"/>
        </w:rPr>
        <w:t>（二）负责保护区森林资源科研监测工作。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楷体" w:hAnsi="楷体" w:eastAsia="楷体" w:cs="楷体"/>
          <w:sz w:val="32"/>
          <w:szCs w:val="32"/>
          <w:lang w:eastAsia="zh-CN"/>
        </w:rPr>
      </w:pPr>
      <w:r>
        <w:rPr>
          <w:rFonts w:hint="eastAsia" w:ascii="楷体" w:hAnsi="楷体" w:eastAsia="楷体" w:cs="楷体"/>
          <w:color w:val="333333"/>
          <w:spacing w:val="9"/>
          <w:sz w:val="32"/>
          <w:szCs w:val="32"/>
          <w:lang w:eastAsia="zh-CN"/>
        </w:rPr>
        <w:t>（三）负责保护区生态环境宣传教育工作。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楷体" w:hAnsi="楷体" w:eastAsia="楷体" w:cs="楷体"/>
          <w:sz w:val="32"/>
          <w:szCs w:val="32"/>
          <w:lang w:eastAsia="zh-CN"/>
        </w:rPr>
      </w:pPr>
      <w:r>
        <w:rPr>
          <w:rFonts w:hint="eastAsia" w:ascii="楷体" w:hAnsi="楷体" w:eastAsia="楷体" w:cs="楷体"/>
          <w:color w:val="333333"/>
          <w:spacing w:val="9"/>
          <w:sz w:val="32"/>
          <w:szCs w:val="32"/>
          <w:lang w:eastAsia="zh-CN"/>
        </w:rPr>
        <w:t>（四）负责协调社区开展森林资源共管工作。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color w:val="333333"/>
          <w:spacing w:val="9"/>
          <w:sz w:val="32"/>
          <w:szCs w:val="32"/>
          <w:lang w:eastAsia="zh-CN"/>
        </w:rPr>
        <w:t>（五）承办上级主管部门交办的其他工作。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8" w:firstLineChars="200"/>
        <w:textAlignment w:val="baseline"/>
        <w:outlineLvl w:val="0"/>
        <w:rPr>
          <w:rFonts w:hint="eastAsia" w:ascii="黑体" w:hAnsi="黑体" w:eastAsia="黑体" w:cs="黑体"/>
          <w:sz w:val="32"/>
          <w:szCs w:val="32"/>
          <w:lang w:eastAsia="zh-CN"/>
        </w:rPr>
      </w:pPr>
      <w:bookmarkStart w:id="3" w:name="bookmark3"/>
      <w:bookmarkEnd w:id="3"/>
      <w:r>
        <w:rPr>
          <w:rFonts w:ascii="黑体" w:hAnsi="黑体" w:eastAsia="黑体" w:cs="黑体"/>
          <w:spacing w:val="7"/>
          <w:sz w:val="32"/>
          <w:szCs w:val="32"/>
          <w:lang w:eastAsia="zh-CN"/>
        </w:rPr>
        <w:t>二、机构设置</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海南番加省级自然保护区管理站纳入海南省林业局（部门）2024年部门决算编制范围的二级单位。</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我站目前自定内设机构：综合办、宣教办、科研办、保护办。</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79" w:firstLine="676" w:firstLineChars="200"/>
        <w:textAlignment w:val="baseline"/>
        <w:rPr>
          <w:rFonts w:ascii="仿宋_GB2312" w:hAnsi="仿宋_GB2312" w:eastAsia="仿宋_GB2312" w:cs="仿宋_GB2312"/>
          <w:color w:val="333333"/>
          <w:spacing w:val="9"/>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79" w:firstLine="676" w:firstLineChars="200"/>
        <w:textAlignment w:val="baseline"/>
        <w:rPr>
          <w:rFonts w:hint="eastAsia" w:ascii="仿宋_GB2312" w:hAnsi="仿宋_GB2312" w:eastAsia="仿宋_GB2312" w:cs="仿宋_GB2312"/>
          <w:color w:val="333333"/>
          <w:spacing w:val="9"/>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outlineLvl w:val="0"/>
        <w:rPr>
          <w:rFonts w:hint="eastAsia" w:ascii="黑体" w:hAnsi="黑体" w:eastAsia="黑体" w:cs="黑体"/>
          <w:spacing w:val="7"/>
          <w:sz w:val="32"/>
          <w:szCs w:val="32"/>
          <w:lang w:eastAsia="zh-CN"/>
        </w:rPr>
      </w:pPr>
      <w:r>
        <w:rPr>
          <w:rFonts w:ascii="黑体" w:hAnsi="黑体" w:eastAsia="黑体" w:cs="黑体"/>
          <w:spacing w:val="7"/>
          <w:sz w:val="32"/>
          <w:szCs w:val="32"/>
          <w:lang w:eastAsia="zh-CN"/>
        </w:rPr>
        <w:t>第二部分  2024年度部门决算公开报表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rPr>
          <w:rFonts w:hint="eastAsia" w:ascii="黑体" w:hAnsi="黑体" w:eastAsia="黑体" w:cs="黑体"/>
          <w:sz w:val="32"/>
          <w:szCs w:val="32"/>
          <w:lang w:eastAsia="zh-CN"/>
        </w:rPr>
      </w:pPr>
      <w:r>
        <w:rPr>
          <w:rFonts w:ascii="黑体" w:hAnsi="黑体" w:eastAsia="黑体" w:cs="黑体"/>
          <w:spacing w:val="8"/>
          <w:sz w:val="32"/>
          <w:szCs w:val="32"/>
          <w:lang w:eastAsia="zh-CN"/>
        </w:rPr>
        <w:t>一、收入支出决算公开表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rPr>
          <w:rFonts w:hint="eastAsia" w:ascii="黑体" w:hAnsi="黑体" w:eastAsia="黑体" w:cs="黑体"/>
          <w:sz w:val="32"/>
          <w:szCs w:val="32"/>
          <w:lang w:eastAsia="zh-CN"/>
        </w:rPr>
      </w:pPr>
      <w:r>
        <w:rPr>
          <w:rFonts w:ascii="黑体" w:hAnsi="黑体" w:eastAsia="黑体" w:cs="黑体"/>
          <w:spacing w:val="8"/>
          <w:sz w:val="32"/>
          <w:szCs w:val="32"/>
          <w:lang w:eastAsia="zh-CN"/>
        </w:rPr>
        <w:t>二、收入决算公开表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8" w:firstLineChars="200"/>
        <w:textAlignment w:val="baseline"/>
        <w:rPr>
          <w:rFonts w:hint="eastAsia" w:ascii="黑体" w:hAnsi="黑体" w:eastAsia="黑体" w:cs="黑体"/>
          <w:sz w:val="32"/>
          <w:szCs w:val="32"/>
          <w:lang w:eastAsia="zh-CN"/>
        </w:rPr>
      </w:pPr>
      <w:r>
        <w:rPr>
          <w:rFonts w:ascii="黑体" w:hAnsi="黑体" w:eastAsia="黑体" w:cs="黑体"/>
          <w:spacing w:val="7"/>
          <w:sz w:val="32"/>
          <w:szCs w:val="32"/>
          <w:lang w:eastAsia="zh-CN"/>
        </w:rPr>
        <w:t>三、支出决算公开表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8" w:firstLineChars="200"/>
        <w:textAlignment w:val="baseline"/>
        <w:rPr>
          <w:rFonts w:hint="eastAsia" w:ascii="黑体" w:hAnsi="黑体" w:eastAsia="黑体" w:cs="黑体"/>
          <w:sz w:val="32"/>
          <w:szCs w:val="32"/>
          <w:lang w:eastAsia="zh-CN"/>
        </w:rPr>
      </w:pPr>
      <w:r>
        <w:rPr>
          <w:rFonts w:ascii="黑体" w:hAnsi="黑体" w:eastAsia="黑体" w:cs="黑体"/>
          <w:spacing w:val="7"/>
          <w:sz w:val="32"/>
          <w:szCs w:val="32"/>
          <w:lang w:eastAsia="zh-CN"/>
        </w:rPr>
        <w:t>四、财政拨款收入支出决算公开表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黑体" w:hAnsi="黑体" w:eastAsia="黑体" w:cs="黑体"/>
          <w:sz w:val="32"/>
          <w:szCs w:val="32"/>
          <w:lang w:eastAsia="zh-CN"/>
        </w:rPr>
      </w:pPr>
      <w:r>
        <w:rPr>
          <w:rFonts w:ascii="黑体" w:hAnsi="黑体" w:eastAsia="黑体" w:cs="黑体"/>
          <w:spacing w:val="9"/>
          <w:sz w:val="32"/>
          <w:szCs w:val="32"/>
          <w:lang w:eastAsia="zh-CN"/>
        </w:rPr>
        <w:t>五、一般公共预算财政拨款收入支出决算公</w:t>
      </w:r>
      <w:r>
        <w:rPr>
          <w:rFonts w:ascii="黑体" w:hAnsi="黑体" w:eastAsia="黑体" w:cs="黑体"/>
          <w:spacing w:val="8"/>
          <w:sz w:val="32"/>
          <w:szCs w:val="32"/>
          <w:lang w:eastAsia="zh-CN"/>
        </w:rPr>
        <w:t>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rPr>
          <w:rFonts w:hint="eastAsia" w:ascii="黑体" w:hAnsi="黑体" w:eastAsia="黑体" w:cs="黑体"/>
          <w:spacing w:val="8"/>
          <w:sz w:val="32"/>
          <w:szCs w:val="32"/>
          <w:lang w:eastAsia="zh-CN"/>
        </w:rPr>
      </w:pPr>
      <w:r>
        <w:rPr>
          <w:rFonts w:ascii="黑体" w:hAnsi="黑体" w:eastAsia="黑体" w:cs="黑体"/>
          <w:spacing w:val="8"/>
          <w:sz w:val="32"/>
          <w:szCs w:val="32"/>
          <w:lang w:eastAsia="zh-CN"/>
        </w:rPr>
        <w:t>六、一般公共预算财政拨款基本支出决算公开表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rPr>
          <w:rFonts w:hint="eastAsia" w:ascii="黑体" w:hAnsi="黑体" w:eastAsia="黑体" w:cs="黑体"/>
          <w:spacing w:val="8"/>
          <w:sz w:val="32"/>
          <w:szCs w:val="32"/>
          <w:lang w:eastAsia="zh-CN"/>
        </w:rPr>
      </w:pPr>
      <w:r>
        <w:rPr>
          <w:rFonts w:ascii="黑体" w:hAnsi="黑体" w:eastAsia="黑体" w:cs="黑体"/>
          <w:spacing w:val="8"/>
          <w:sz w:val="32"/>
          <w:szCs w:val="32"/>
          <w:lang w:eastAsia="zh-CN"/>
        </w:rPr>
        <w:t>七、政府性基金预算财政拨款收入支出决算公开表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rPr>
          <w:rFonts w:hint="eastAsia" w:ascii="黑体" w:hAnsi="黑体" w:eastAsia="黑体" w:cs="黑体"/>
          <w:spacing w:val="8"/>
          <w:sz w:val="32"/>
          <w:szCs w:val="32"/>
          <w:lang w:eastAsia="zh-CN"/>
        </w:rPr>
      </w:pPr>
      <w:r>
        <w:rPr>
          <w:rFonts w:ascii="黑体" w:hAnsi="黑体" w:eastAsia="黑体" w:cs="黑体"/>
          <w:spacing w:val="8"/>
          <w:sz w:val="32"/>
          <w:szCs w:val="32"/>
          <w:lang w:eastAsia="zh-CN"/>
        </w:rPr>
        <w:t>八、国有资本经营预算财政拨款收入支出决算公开表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rPr>
          <w:rFonts w:hint="eastAsia" w:ascii="黑体" w:hAnsi="黑体" w:eastAsia="黑体" w:cs="黑体"/>
          <w:spacing w:val="8"/>
          <w:sz w:val="32"/>
          <w:szCs w:val="32"/>
          <w:lang w:eastAsia="zh-CN"/>
        </w:rPr>
      </w:pPr>
      <w:r>
        <w:rPr>
          <w:rFonts w:ascii="黑体" w:hAnsi="黑体" w:eastAsia="黑体" w:cs="黑体"/>
          <w:spacing w:val="8"/>
          <w:sz w:val="32"/>
          <w:szCs w:val="32"/>
          <w:lang w:eastAsia="zh-CN"/>
        </w:rPr>
        <w:t>九、财政拨款“三公”经费支出决算公开表</w:t>
      </w:r>
    </w:p>
    <w:p>
      <w:pPr>
        <w:pStyle w:val="5"/>
        <w:keepNext w:val="0"/>
        <w:keepLines w:val="0"/>
        <w:pageBreakBefore w:val="0"/>
        <w:widowControl/>
        <w:shd w:val="clear" w:color="auto"/>
        <w:tabs>
          <w:tab w:val="left" w:pos="1680"/>
        </w:tabs>
        <w:kinsoku w:val="0"/>
        <w:wordWrap/>
        <w:overflowPunct/>
        <w:topLinePunct w:val="0"/>
        <w:autoSpaceDE w:val="0"/>
        <w:autoSpaceDN w:val="0"/>
        <w:bidi w:val="0"/>
        <w:adjustRightInd w:val="0"/>
        <w:snapToGrid w:val="0"/>
        <w:spacing w:beforeAutospacing="0" w:afterAutospacing="0" w:line="580" w:lineRule="exact"/>
        <w:ind w:left="-6" w:leftChars="0" w:firstLine="640" w:firstLineChars="200"/>
        <w:textAlignment w:val="baseline"/>
        <w:rPr>
          <w:rFonts w:ascii="黑体" w:hAnsi="黑体" w:eastAsia="黑体" w:cs="黑体"/>
          <w:spacing w:val="8"/>
          <w:sz w:val="32"/>
          <w:szCs w:val="32"/>
          <w:lang w:eastAsia="zh-CN"/>
        </w:rPr>
      </w:pPr>
      <w:r>
        <w:rPr>
          <w:rFonts w:hint="eastAsia" w:ascii="仿宋_GB2312" w:hAnsi="仿宋_GB2312" w:eastAsia="仿宋_GB2312" w:cs="仿宋_GB2312"/>
          <w:sz w:val="32"/>
          <w:szCs w:val="32"/>
          <w:lang w:eastAsia="zh-CN"/>
        </w:rPr>
        <w:t>以上报表见附件</w:t>
      </w:r>
      <w:r>
        <w:rPr>
          <w:rFonts w:hint="eastAsia" w:ascii="黑体" w:hAnsi="黑体" w:eastAsia="黑体" w:cs="黑体"/>
          <w:spacing w:val="8"/>
          <w:sz w:val="32"/>
          <w:szCs w:val="32"/>
          <w:lang w:eastAsia="zh-CN"/>
        </w:rPr>
        <w:t>　</w:t>
      </w:r>
      <w:r>
        <w:rPr>
          <w:rFonts w:hint="eastAsia" w:ascii="仿宋_GB2312" w:hAnsi="仿宋_GB2312" w:eastAsia="仿宋_GB2312" w:cs="仿宋_GB2312"/>
          <w:sz w:val="32"/>
          <w:szCs w:val="32"/>
        </w:rPr>
        <w:t>海南番加省级自然保护区管理站2024年度部门决算公开表</w:t>
      </w:r>
      <w:r>
        <w:rPr>
          <w:rFonts w:ascii="黑体" w:hAnsi="黑体" w:eastAsia="黑体" w:cs="黑体"/>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643" w:firstLine="672" w:firstLineChars="200"/>
        <w:textAlignment w:val="baseline"/>
        <w:rPr>
          <w:rFonts w:ascii="黑体" w:hAnsi="黑体" w:eastAsia="黑体" w:cs="黑体"/>
          <w:spacing w:val="8"/>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643" w:firstLine="672" w:firstLineChars="200"/>
        <w:textAlignment w:val="baseline"/>
        <w:rPr>
          <w:rFonts w:hint="eastAsia" w:ascii="黑体" w:hAnsi="黑体" w:eastAsia="黑体" w:cs="黑体"/>
          <w:spacing w:val="8"/>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outlineLvl w:val="0"/>
        <w:rPr>
          <w:rFonts w:hint="eastAsia" w:ascii="黑体" w:hAnsi="黑体" w:eastAsia="黑体" w:cs="黑体"/>
          <w:sz w:val="32"/>
          <w:szCs w:val="32"/>
          <w:lang w:eastAsia="zh-CN"/>
        </w:rPr>
      </w:pPr>
      <w:bookmarkStart w:id="4" w:name="bookmark5"/>
      <w:bookmarkEnd w:id="4"/>
      <w:r>
        <w:rPr>
          <w:rFonts w:ascii="黑体" w:hAnsi="黑体" w:eastAsia="黑体" w:cs="黑体"/>
          <w:spacing w:val="7"/>
          <w:sz w:val="32"/>
          <w:szCs w:val="32"/>
          <w:lang w:eastAsia="zh-CN"/>
        </w:rPr>
        <w:t>第三部分  2024年度部门决算情况说明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8" w:firstLineChars="200"/>
        <w:textAlignment w:val="baseline"/>
        <w:outlineLvl w:val="0"/>
        <w:rPr>
          <w:rFonts w:hint="eastAsia" w:ascii="黑体" w:hAnsi="黑体" w:eastAsia="黑体" w:cs="黑体"/>
          <w:sz w:val="32"/>
          <w:szCs w:val="32"/>
          <w:lang w:eastAsia="zh-CN"/>
        </w:rPr>
      </w:pPr>
      <w:bookmarkStart w:id="5" w:name="bookmark20"/>
      <w:bookmarkEnd w:id="5"/>
      <w:r>
        <w:rPr>
          <w:rFonts w:ascii="仿宋_GB2312" w:hAnsi="仿宋_GB2312" w:eastAsia="仿宋_GB2312" w:cs="仿宋_GB2312"/>
          <w:spacing w:val="7"/>
          <w:sz w:val="32"/>
          <w:szCs w:val="32"/>
          <w:lang w:eastAsia="zh-CN"/>
        </w:rPr>
        <w:t>一、</w:t>
      </w:r>
      <w:r>
        <w:rPr>
          <w:rFonts w:ascii="黑体" w:hAnsi="黑体" w:eastAsia="黑体" w:cs="黑体"/>
          <w:spacing w:val="7"/>
          <w:sz w:val="32"/>
          <w:szCs w:val="32"/>
          <w:lang w:eastAsia="zh-CN"/>
        </w:rPr>
        <w:t>收入支出总体情况说明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color w:val="333333"/>
          <w:spacing w:val="9"/>
          <w:sz w:val="32"/>
          <w:szCs w:val="32"/>
          <w:lang w:eastAsia="zh-CN"/>
        </w:rPr>
        <w:t>2024年度收入总计</w:t>
      </w:r>
      <w:r>
        <w:rPr>
          <w:rFonts w:hint="eastAsia" w:ascii="仿宋_GB2312" w:hAnsi="仿宋_GB2312" w:eastAsia="仿宋_GB2312" w:cs="仿宋_GB2312"/>
          <w:color w:val="333333"/>
          <w:spacing w:val="9"/>
          <w:sz w:val="32"/>
          <w:szCs w:val="32"/>
          <w:lang w:eastAsia="zh-CN"/>
        </w:rPr>
        <w:t>470.89</w:t>
      </w:r>
      <w:r>
        <w:rPr>
          <w:rFonts w:ascii="仿宋_GB2312" w:hAnsi="仿宋_GB2312" w:eastAsia="仿宋_GB2312" w:cs="仿宋_GB2312"/>
          <w:color w:val="333333"/>
          <w:spacing w:val="9"/>
          <w:sz w:val="32"/>
          <w:szCs w:val="32"/>
          <w:lang w:eastAsia="zh-CN"/>
        </w:rPr>
        <w:t>万元，支出总计</w:t>
      </w:r>
      <w:r>
        <w:rPr>
          <w:rFonts w:hint="eastAsia" w:ascii="仿宋_GB2312" w:hAnsi="仿宋_GB2312" w:eastAsia="仿宋_GB2312" w:cs="仿宋_GB2312"/>
          <w:color w:val="333333"/>
          <w:spacing w:val="9"/>
          <w:sz w:val="32"/>
          <w:szCs w:val="32"/>
          <w:lang w:eastAsia="zh-CN"/>
        </w:rPr>
        <w:t>470.89</w:t>
      </w:r>
      <w:r>
        <w:rPr>
          <w:rFonts w:ascii="仿宋_GB2312" w:hAnsi="仿宋_GB2312" w:eastAsia="仿宋_GB2312" w:cs="仿宋_GB2312"/>
          <w:color w:val="333333"/>
          <w:spacing w:val="9"/>
          <w:sz w:val="32"/>
          <w:szCs w:val="32"/>
          <w:lang w:eastAsia="zh-CN"/>
        </w:rPr>
        <w:t>万元，与2023年度相比，收入、支出总计各</w:t>
      </w:r>
      <w:r>
        <w:rPr>
          <w:rFonts w:hint="eastAsia" w:ascii="仿宋_GB2312" w:hAnsi="仿宋_GB2312" w:eastAsia="仿宋_GB2312" w:cs="仿宋_GB2312"/>
          <w:color w:val="333333"/>
          <w:spacing w:val="9"/>
          <w:sz w:val="32"/>
          <w:szCs w:val="32"/>
          <w:lang w:eastAsia="zh-CN"/>
        </w:rPr>
        <w:t>减少168.85</w:t>
      </w:r>
      <w:r>
        <w:rPr>
          <w:rFonts w:ascii="仿宋_GB2312" w:hAnsi="仿宋_GB2312" w:eastAsia="仿宋_GB2312" w:cs="仿宋_GB2312"/>
          <w:color w:val="333333"/>
          <w:spacing w:val="9"/>
          <w:sz w:val="32"/>
          <w:szCs w:val="32"/>
          <w:lang w:eastAsia="zh-CN"/>
        </w:rPr>
        <w:t>万元，</w:t>
      </w:r>
      <w:r>
        <w:rPr>
          <w:rFonts w:hint="eastAsia" w:ascii="仿宋_GB2312" w:hAnsi="仿宋_GB2312" w:eastAsia="仿宋_GB2312" w:cs="仿宋_GB2312"/>
          <w:color w:val="333333"/>
          <w:spacing w:val="9"/>
          <w:sz w:val="32"/>
          <w:szCs w:val="32"/>
          <w:lang w:eastAsia="zh-CN"/>
        </w:rPr>
        <w:t>减少</w:t>
      </w:r>
      <w:bookmarkStart w:id="6" w:name="_Hlk207959359"/>
      <w:r>
        <w:rPr>
          <w:rFonts w:hint="eastAsia" w:ascii="仿宋_GB2312" w:hAnsi="仿宋_GB2312" w:eastAsia="仿宋_GB2312" w:cs="仿宋_GB2312"/>
          <w:color w:val="333333"/>
          <w:spacing w:val="9"/>
          <w:sz w:val="32"/>
          <w:szCs w:val="32"/>
          <w:lang w:eastAsia="zh-CN"/>
        </w:rPr>
        <w:t>26.39</w:t>
      </w:r>
      <w:bookmarkEnd w:id="6"/>
      <w:r>
        <w:rPr>
          <w:rFonts w:ascii="仿宋_GB2312" w:hAnsi="仿宋_GB2312" w:eastAsia="仿宋_GB2312" w:cs="仿宋_GB2312"/>
          <w:color w:val="333333"/>
          <w:spacing w:val="9"/>
          <w:sz w:val="32"/>
          <w:szCs w:val="32"/>
          <w:lang w:eastAsia="zh-CN"/>
        </w:rPr>
        <w:t>%。主要原因：项目资金比上年度</w:t>
      </w:r>
      <w:r>
        <w:rPr>
          <w:rFonts w:hint="eastAsia" w:ascii="仿宋_GB2312" w:hAnsi="仿宋_GB2312" w:eastAsia="仿宋_GB2312" w:cs="仿宋_GB2312"/>
          <w:color w:val="333333"/>
          <w:spacing w:val="9"/>
          <w:sz w:val="32"/>
          <w:szCs w:val="32"/>
          <w:lang w:eastAsia="zh-CN"/>
        </w:rPr>
        <w:t>减少</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0" w:firstLineChars="200"/>
        <w:textAlignment w:val="baseline"/>
        <w:rPr>
          <w:rFonts w:hint="eastAsia" w:ascii="楷体" w:hAnsi="楷体" w:eastAsia="楷体" w:cs="楷体"/>
          <w:sz w:val="32"/>
          <w:szCs w:val="32"/>
          <w:lang w:eastAsia="zh-CN"/>
        </w:rPr>
      </w:pPr>
      <w:r>
        <w:rPr>
          <w:rFonts w:ascii="楷体" w:hAnsi="楷体" w:eastAsia="楷体" w:cs="楷体"/>
          <w:spacing w:val="5"/>
          <w:sz w:val="32"/>
          <w:szCs w:val="32"/>
          <w:lang w:eastAsia="zh-CN"/>
        </w:rPr>
        <w:t>（一）收入总计主要构成。</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本年收入</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使用非财政拨款结余0万元，</w:t>
      </w:r>
      <w:r>
        <w:rPr>
          <w:rFonts w:ascii="仿宋_GB2312" w:hAnsi="仿宋_GB2312" w:eastAsia="仿宋_GB2312" w:cs="仿宋_GB2312"/>
          <w:color w:val="333333"/>
          <w:spacing w:val="9"/>
          <w:sz w:val="32"/>
          <w:szCs w:val="32"/>
          <w:lang w:val="en-US" w:eastAsia="zh-CN"/>
        </w:rPr>
        <w:t>较202</w:t>
      </w:r>
      <w:r>
        <w:rPr>
          <w:rFonts w:ascii="仿宋_GB2312" w:hAnsi="仿宋_GB2312" w:eastAsia="仿宋_GB2312" w:cs="仿宋_GB2312"/>
          <w:color w:val="333333"/>
          <w:spacing w:val="9"/>
          <w:sz w:val="32"/>
          <w:szCs w:val="32"/>
          <w:lang w:eastAsia="zh-CN"/>
        </w:rPr>
        <w:t>3</w:t>
      </w:r>
      <w:r>
        <w:rPr>
          <w:rFonts w:ascii="仿宋_GB2312" w:hAnsi="仿宋_GB2312" w:eastAsia="仿宋_GB2312" w:cs="仿宋_GB2312"/>
          <w:color w:val="333333"/>
          <w:spacing w:val="9"/>
          <w:sz w:val="32"/>
          <w:szCs w:val="32"/>
          <w:lang w:val="en-US" w:eastAsia="zh-CN"/>
        </w:rPr>
        <w:t>年度决算数增加（减少）</w:t>
      </w:r>
      <w:r>
        <w:rPr>
          <w:rFonts w:ascii="仿宋_GB2312" w:hAnsi="仿宋_GB2312" w:eastAsia="仿宋_GB2312" w:cs="仿宋_GB2312"/>
          <w:color w:val="333333"/>
          <w:spacing w:val="9"/>
          <w:sz w:val="32"/>
          <w:szCs w:val="32"/>
          <w:lang w:eastAsia="zh-CN"/>
        </w:rPr>
        <w:t>0</w:t>
      </w:r>
      <w:r>
        <w:rPr>
          <w:rFonts w:ascii="仿宋_GB2312" w:hAnsi="仿宋_GB2312" w:eastAsia="仿宋_GB2312" w:cs="仿宋_GB2312"/>
          <w:color w:val="333333"/>
          <w:spacing w:val="9"/>
          <w:sz w:val="32"/>
          <w:szCs w:val="32"/>
          <w:lang w:val="en-US" w:eastAsia="zh-CN"/>
        </w:rPr>
        <w:t>万元</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年初结转结余</w:t>
      </w:r>
      <w:r>
        <w:rPr>
          <w:rFonts w:hint="eastAsia" w:ascii="仿宋_GB2312" w:hAnsi="仿宋_GB2312" w:eastAsia="仿宋_GB2312" w:cs="仿宋_GB2312"/>
          <w:color w:val="333333"/>
          <w:spacing w:val="9"/>
          <w:sz w:val="32"/>
          <w:szCs w:val="32"/>
          <w:lang w:eastAsia="zh-CN"/>
        </w:rPr>
        <w:t>1.84</w:t>
      </w:r>
      <w:r>
        <w:rPr>
          <w:rFonts w:ascii="仿宋_GB2312" w:hAnsi="仿宋_GB2312" w:eastAsia="仿宋_GB2312" w:cs="仿宋_GB2312"/>
          <w:color w:val="333333"/>
          <w:spacing w:val="9"/>
          <w:sz w:val="32"/>
          <w:szCs w:val="32"/>
          <w:lang w:eastAsia="zh-CN"/>
        </w:rPr>
        <w:t>万元，主要是以前年度资金结存、自有资金项目结转结余等，较2023年度决算数增加1.48万元，上升80.43%，主要原因是结转上年儋州市转入公益林管护经费。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0" w:firstLineChars="200"/>
        <w:textAlignment w:val="baseline"/>
        <w:rPr>
          <w:rFonts w:hint="eastAsia" w:ascii="楷体" w:hAnsi="楷体" w:eastAsia="楷体" w:cs="楷体"/>
          <w:sz w:val="32"/>
          <w:szCs w:val="32"/>
          <w:lang w:eastAsia="zh-CN"/>
        </w:rPr>
      </w:pPr>
      <w:r>
        <w:rPr>
          <w:rFonts w:ascii="楷体" w:hAnsi="楷体" w:eastAsia="楷体" w:cs="楷体"/>
          <w:spacing w:val="5"/>
          <w:sz w:val="32"/>
          <w:szCs w:val="32"/>
          <w:lang w:eastAsia="zh-CN"/>
        </w:rPr>
        <w:t>（二）支出总计主要构成。</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本年支出</w:t>
      </w:r>
      <w:r>
        <w:rPr>
          <w:rFonts w:hint="eastAsia" w:ascii="仿宋_GB2312" w:hAnsi="仿宋_GB2312" w:eastAsia="仿宋_GB2312" w:cs="仿宋_GB2312"/>
          <w:color w:val="333333"/>
          <w:spacing w:val="9"/>
          <w:sz w:val="32"/>
          <w:szCs w:val="32"/>
          <w:lang w:eastAsia="zh-CN"/>
        </w:rPr>
        <w:t>470.89</w:t>
      </w:r>
      <w:r>
        <w:rPr>
          <w:rFonts w:ascii="仿宋_GB2312" w:hAnsi="仿宋_GB2312" w:eastAsia="仿宋_GB2312" w:cs="仿宋_GB2312"/>
          <w:color w:val="333333"/>
          <w:spacing w:val="9"/>
          <w:sz w:val="32"/>
          <w:szCs w:val="32"/>
          <w:lang w:eastAsia="zh-CN"/>
        </w:rPr>
        <w:t>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结余分配0万元，</w:t>
      </w:r>
      <w:r>
        <w:rPr>
          <w:rFonts w:ascii="仿宋_GB2312" w:hAnsi="仿宋_GB2312" w:eastAsia="仿宋_GB2312" w:cs="仿宋_GB2312"/>
          <w:color w:val="333333"/>
          <w:spacing w:val="9"/>
          <w:sz w:val="32"/>
          <w:szCs w:val="32"/>
          <w:lang w:val="en-US" w:eastAsia="zh-CN"/>
        </w:rPr>
        <w:t>较202</w:t>
      </w:r>
      <w:r>
        <w:rPr>
          <w:rFonts w:ascii="仿宋_GB2312" w:hAnsi="仿宋_GB2312" w:eastAsia="仿宋_GB2312" w:cs="仿宋_GB2312"/>
          <w:color w:val="333333"/>
          <w:spacing w:val="9"/>
          <w:sz w:val="32"/>
          <w:szCs w:val="32"/>
          <w:lang w:eastAsia="zh-CN"/>
        </w:rPr>
        <w:t>3</w:t>
      </w:r>
      <w:r>
        <w:rPr>
          <w:rFonts w:ascii="仿宋_GB2312" w:hAnsi="仿宋_GB2312" w:eastAsia="仿宋_GB2312" w:cs="仿宋_GB2312"/>
          <w:color w:val="333333"/>
          <w:spacing w:val="9"/>
          <w:sz w:val="32"/>
          <w:szCs w:val="32"/>
          <w:lang w:val="en-US" w:eastAsia="zh-CN"/>
        </w:rPr>
        <w:t>年度决算数增加（减少）</w:t>
      </w:r>
      <w:r>
        <w:rPr>
          <w:rFonts w:ascii="仿宋_GB2312" w:hAnsi="仿宋_GB2312" w:eastAsia="仿宋_GB2312" w:cs="仿宋_GB2312"/>
          <w:color w:val="333333"/>
          <w:spacing w:val="9"/>
          <w:sz w:val="32"/>
          <w:szCs w:val="32"/>
          <w:lang w:eastAsia="zh-CN"/>
        </w:rPr>
        <w:t>0</w:t>
      </w:r>
      <w:r>
        <w:rPr>
          <w:rFonts w:ascii="仿宋_GB2312" w:hAnsi="仿宋_GB2312" w:eastAsia="仿宋_GB2312" w:cs="仿宋_GB2312"/>
          <w:color w:val="333333"/>
          <w:spacing w:val="9"/>
          <w:sz w:val="32"/>
          <w:szCs w:val="32"/>
          <w:lang w:val="en-US" w:eastAsia="zh-CN"/>
        </w:rPr>
        <w:t>万元</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年末结转结余</w:t>
      </w:r>
      <w:r>
        <w:rPr>
          <w:rFonts w:hint="eastAsia" w:ascii="仿宋_GB2312" w:hAnsi="仿宋_GB2312" w:eastAsia="仿宋_GB2312" w:cs="仿宋_GB2312"/>
          <w:color w:val="333333"/>
          <w:spacing w:val="9"/>
          <w:sz w:val="32"/>
          <w:szCs w:val="32"/>
          <w:lang w:eastAsia="zh-CN"/>
        </w:rPr>
        <w:t>0</w:t>
      </w:r>
      <w:r>
        <w:rPr>
          <w:rFonts w:ascii="仿宋_GB2312" w:hAnsi="仿宋_GB2312" w:eastAsia="仿宋_GB2312" w:cs="仿宋_GB2312"/>
          <w:color w:val="333333"/>
          <w:spacing w:val="9"/>
          <w:sz w:val="32"/>
          <w:szCs w:val="32"/>
          <w:lang w:eastAsia="zh-CN"/>
        </w:rPr>
        <w:t>万元，较2023年度决算数</w:t>
      </w:r>
      <w:r>
        <w:rPr>
          <w:rFonts w:hint="eastAsia" w:ascii="仿宋_GB2312" w:hAnsi="仿宋_GB2312" w:eastAsia="仿宋_GB2312" w:cs="仿宋_GB2312"/>
          <w:color w:val="333333"/>
          <w:spacing w:val="9"/>
          <w:sz w:val="32"/>
          <w:szCs w:val="32"/>
          <w:lang w:eastAsia="zh-CN"/>
        </w:rPr>
        <w:t>减少1.92</w:t>
      </w:r>
      <w:r>
        <w:rPr>
          <w:rFonts w:ascii="仿宋_GB2312" w:hAnsi="仿宋_GB2312" w:eastAsia="仿宋_GB2312" w:cs="仿宋_GB2312"/>
          <w:color w:val="333333"/>
          <w:spacing w:val="9"/>
          <w:sz w:val="32"/>
          <w:szCs w:val="32"/>
          <w:lang w:eastAsia="zh-CN"/>
        </w:rPr>
        <w:t>万元</w:t>
      </w:r>
      <w:r>
        <w:rPr>
          <w:rFonts w:hint="eastAsia" w:ascii="仿宋_GB2312" w:hAnsi="仿宋_GB2312" w:eastAsia="仿宋_GB2312" w:cs="仿宋_GB2312"/>
          <w:color w:val="333333"/>
          <w:spacing w:val="9"/>
          <w:sz w:val="32"/>
          <w:szCs w:val="32"/>
          <w:lang w:eastAsia="zh-CN"/>
        </w:rPr>
        <w:t>，主要原因是</w:t>
      </w:r>
      <w:r>
        <w:rPr>
          <w:rFonts w:ascii="仿宋_GB2312" w:hAnsi="仿宋_GB2312" w:eastAsia="仿宋_GB2312" w:cs="仿宋_GB2312"/>
          <w:color w:val="333333"/>
          <w:spacing w:val="9"/>
          <w:sz w:val="32"/>
          <w:szCs w:val="32"/>
          <w:lang w:eastAsia="zh-CN"/>
        </w:rPr>
        <w:t>2023年儋州市转入公益林管护经费，本年</w:t>
      </w:r>
      <w:r>
        <w:rPr>
          <w:rFonts w:hint="eastAsia" w:ascii="仿宋_GB2312" w:hAnsi="仿宋_GB2312" w:eastAsia="仿宋_GB2312" w:cs="仿宋_GB2312"/>
          <w:color w:val="333333"/>
          <w:spacing w:val="9"/>
          <w:sz w:val="32"/>
          <w:szCs w:val="32"/>
          <w:lang w:eastAsia="zh-CN"/>
        </w:rPr>
        <w:t>无转入经费</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outlineLvl w:val="0"/>
        <w:rPr>
          <w:rFonts w:hint="eastAsia" w:ascii="黑体" w:hAnsi="黑体" w:eastAsia="黑体" w:cs="黑体"/>
          <w:sz w:val="32"/>
          <w:szCs w:val="32"/>
          <w:lang w:eastAsia="zh-CN"/>
        </w:rPr>
      </w:pPr>
      <w:bookmarkStart w:id="7" w:name="bookmark22"/>
      <w:bookmarkEnd w:id="7"/>
      <w:r>
        <w:rPr>
          <w:rFonts w:ascii="黑体" w:hAnsi="黑体" w:eastAsia="黑体" w:cs="黑体"/>
          <w:spacing w:val="8"/>
          <w:sz w:val="32"/>
          <w:szCs w:val="32"/>
          <w:lang w:eastAsia="zh-CN"/>
        </w:rPr>
        <w:t>二、收入决算情况说明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本年收入</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万元，其中：财政拨款收入</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万元，占</w:t>
      </w:r>
      <w:r>
        <w:rPr>
          <w:rFonts w:hint="eastAsia" w:ascii="仿宋_GB2312" w:hAnsi="仿宋_GB2312" w:eastAsia="仿宋_GB2312" w:cs="仿宋_GB2312"/>
          <w:color w:val="333333"/>
          <w:spacing w:val="9"/>
          <w:sz w:val="32"/>
          <w:szCs w:val="32"/>
          <w:lang w:eastAsia="zh-CN"/>
        </w:rPr>
        <w:t>100</w:t>
      </w:r>
      <w:r>
        <w:rPr>
          <w:rFonts w:ascii="仿宋_GB2312" w:hAnsi="仿宋_GB2312" w:eastAsia="仿宋_GB2312" w:cs="仿宋_GB2312"/>
          <w:color w:val="333333"/>
          <w:spacing w:val="9"/>
          <w:sz w:val="32"/>
          <w:szCs w:val="32"/>
          <w:lang w:eastAsia="zh-CN"/>
        </w:rPr>
        <w:t>%；上级补助收入0万元，占0%；事业收</w:t>
      </w:r>
      <w:r>
        <w:rPr>
          <w:rFonts w:hint="eastAsia" w:ascii="仿宋_GB2312" w:hAnsi="仿宋_GB2312" w:eastAsia="仿宋_GB2312" w:cs="仿宋_GB2312"/>
          <w:color w:val="333333"/>
          <w:spacing w:val="9"/>
          <w:sz w:val="32"/>
          <w:szCs w:val="32"/>
          <w:lang w:eastAsia="zh-CN"/>
        </w:rPr>
        <w:t>入</w:t>
      </w:r>
      <w:r>
        <w:rPr>
          <w:rFonts w:ascii="仿宋_GB2312" w:hAnsi="仿宋_GB2312" w:eastAsia="仿宋_GB2312" w:cs="仿宋_GB2312"/>
          <w:color w:val="333333"/>
          <w:spacing w:val="9"/>
          <w:sz w:val="32"/>
          <w:szCs w:val="32"/>
          <w:lang w:eastAsia="zh-CN"/>
        </w:rPr>
        <w:t>0万元，占0%；经营收入0万元，占0%；附属单位上缴收入0万元，占0%；其他收入</w:t>
      </w:r>
      <w:r>
        <w:rPr>
          <w:rFonts w:hint="eastAsia" w:ascii="仿宋_GB2312" w:hAnsi="仿宋_GB2312" w:eastAsia="仿宋_GB2312" w:cs="仿宋_GB2312"/>
          <w:color w:val="333333"/>
          <w:spacing w:val="9"/>
          <w:sz w:val="32"/>
          <w:szCs w:val="32"/>
          <w:lang w:eastAsia="zh-CN"/>
        </w:rPr>
        <w:t>0</w:t>
      </w:r>
      <w:r>
        <w:rPr>
          <w:rFonts w:ascii="仿宋_GB2312" w:hAnsi="仿宋_GB2312" w:eastAsia="仿宋_GB2312" w:cs="仿宋_GB2312"/>
          <w:color w:val="333333"/>
          <w:spacing w:val="9"/>
          <w:sz w:val="32"/>
          <w:szCs w:val="32"/>
          <w:lang w:eastAsia="zh-CN"/>
        </w:rPr>
        <w:t>万元，占</w:t>
      </w:r>
      <w:r>
        <w:rPr>
          <w:rFonts w:hint="eastAsia" w:ascii="仿宋_GB2312" w:hAnsi="仿宋_GB2312" w:eastAsia="仿宋_GB2312" w:cs="仿宋_GB2312"/>
          <w:color w:val="333333"/>
          <w:spacing w:val="9"/>
          <w:sz w:val="32"/>
          <w:szCs w:val="32"/>
          <w:lang w:eastAsia="zh-CN"/>
        </w:rPr>
        <w:t>0</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outlineLvl w:val="0"/>
        <w:rPr>
          <w:rFonts w:hint="eastAsia" w:ascii="黑体" w:hAnsi="黑体" w:eastAsia="黑体" w:cs="黑体"/>
          <w:sz w:val="32"/>
          <w:szCs w:val="32"/>
          <w:lang w:eastAsia="zh-CN"/>
        </w:rPr>
      </w:pPr>
      <w:bookmarkStart w:id="8" w:name="bookmark23"/>
      <w:bookmarkEnd w:id="8"/>
      <w:r>
        <w:rPr>
          <w:rFonts w:ascii="黑体" w:hAnsi="黑体" w:eastAsia="黑体" w:cs="黑体"/>
          <w:spacing w:val="8"/>
          <w:sz w:val="32"/>
          <w:szCs w:val="32"/>
          <w:lang w:eastAsia="zh-CN"/>
        </w:rPr>
        <w:t>三、支出决算情况说明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本年支出</w:t>
      </w:r>
      <w:r>
        <w:rPr>
          <w:rFonts w:hint="eastAsia" w:ascii="仿宋_GB2312" w:hAnsi="仿宋_GB2312" w:eastAsia="仿宋_GB2312" w:cs="仿宋_GB2312"/>
          <w:color w:val="333333"/>
          <w:spacing w:val="9"/>
          <w:sz w:val="32"/>
          <w:szCs w:val="32"/>
          <w:lang w:eastAsia="zh-CN"/>
        </w:rPr>
        <w:t>470.89</w:t>
      </w:r>
      <w:r>
        <w:rPr>
          <w:rFonts w:ascii="仿宋_GB2312" w:hAnsi="仿宋_GB2312" w:eastAsia="仿宋_GB2312" w:cs="仿宋_GB2312"/>
          <w:color w:val="333333"/>
          <w:spacing w:val="9"/>
          <w:sz w:val="32"/>
          <w:szCs w:val="32"/>
          <w:lang w:eastAsia="zh-CN"/>
        </w:rPr>
        <w:t>万元，其中：基本支出</w:t>
      </w:r>
      <w:r>
        <w:rPr>
          <w:rFonts w:hint="eastAsia" w:ascii="仿宋_GB2312" w:hAnsi="仿宋_GB2312" w:eastAsia="仿宋_GB2312" w:cs="仿宋_GB2312"/>
          <w:color w:val="333333"/>
          <w:spacing w:val="9"/>
          <w:sz w:val="32"/>
          <w:szCs w:val="32"/>
          <w:lang w:eastAsia="zh-CN"/>
        </w:rPr>
        <w:t>293.83</w:t>
      </w:r>
      <w:r>
        <w:rPr>
          <w:rFonts w:ascii="仿宋_GB2312" w:hAnsi="仿宋_GB2312" w:eastAsia="仿宋_GB2312" w:cs="仿宋_GB2312"/>
          <w:color w:val="333333"/>
          <w:spacing w:val="9"/>
          <w:sz w:val="32"/>
          <w:szCs w:val="32"/>
          <w:lang w:eastAsia="zh-CN"/>
        </w:rPr>
        <w:t>万元，占</w:t>
      </w:r>
      <w:r>
        <w:rPr>
          <w:rFonts w:hint="eastAsia" w:ascii="仿宋_GB2312" w:hAnsi="仿宋_GB2312" w:eastAsia="仿宋_GB2312" w:cs="仿宋_GB2312"/>
          <w:color w:val="333333"/>
          <w:spacing w:val="9"/>
          <w:sz w:val="32"/>
          <w:szCs w:val="32"/>
          <w:lang w:eastAsia="zh-CN"/>
        </w:rPr>
        <w:t>62.4</w:t>
      </w:r>
      <w:r>
        <w:rPr>
          <w:rFonts w:ascii="仿宋_GB2312" w:hAnsi="仿宋_GB2312" w:eastAsia="仿宋_GB2312" w:cs="仿宋_GB2312"/>
          <w:color w:val="333333"/>
          <w:spacing w:val="9"/>
          <w:sz w:val="32"/>
          <w:szCs w:val="32"/>
          <w:lang w:eastAsia="zh-CN"/>
        </w:rPr>
        <w:t>%；项目支出</w:t>
      </w:r>
      <w:r>
        <w:rPr>
          <w:rFonts w:hint="eastAsia" w:ascii="仿宋_GB2312" w:hAnsi="仿宋_GB2312" w:eastAsia="仿宋_GB2312" w:cs="仿宋_GB2312"/>
          <w:color w:val="333333"/>
          <w:spacing w:val="9"/>
          <w:sz w:val="32"/>
          <w:szCs w:val="32"/>
          <w:lang w:eastAsia="zh-CN"/>
        </w:rPr>
        <w:t>177.06</w:t>
      </w:r>
      <w:r>
        <w:rPr>
          <w:rFonts w:ascii="仿宋_GB2312" w:hAnsi="仿宋_GB2312" w:eastAsia="仿宋_GB2312" w:cs="仿宋_GB2312"/>
          <w:color w:val="333333"/>
          <w:spacing w:val="9"/>
          <w:sz w:val="32"/>
          <w:szCs w:val="32"/>
          <w:lang w:eastAsia="zh-CN"/>
        </w:rPr>
        <w:t>万元，占</w:t>
      </w:r>
      <w:r>
        <w:rPr>
          <w:rFonts w:hint="eastAsia" w:ascii="仿宋_GB2312" w:hAnsi="仿宋_GB2312" w:eastAsia="仿宋_GB2312" w:cs="仿宋_GB2312"/>
          <w:color w:val="333333"/>
          <w:spacing w:val="9"/>
          <w:sz w:val="32"/>
          <w:szCs w:val="32"/>
          <w:lang w:eastAsia="zh-CN"/>
        </w:rPr>
        <w:t>37.6</w:t>
      </w:r>
      <w:r>
        <w:rPr>
          <w:rFonts w:ascii="仿宋_GB2312" w:hAnsi="仿宋_GB2312" w:eastAsia="仿宋_GB2312" w:cs="仿宋_GB2312"/>
          <w:color w:val="333333"/>
          <w:spacing w:val="9"/>
          <w:sz w:val="32"/>
          <w:szCs w:val="32"/>
          <w:lang w:eastAsia="zh-CN"/>
        </w:rPr>
        <w:t>%；上缴上级支出0万元，占0%；经营支出0万元，占0%；对附属单位补助支出0万元，占0%。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outlineLvl w:val="0"/>
        <w:rPr>
          <w:rFonts w:hint="eastAsia" w:ascii="黑体" w:hAnsi="黑体" w:eastAsia="黑体" w:cs="黑体"/>
          <w:sz w:val="32"/>
          <w:szCs w:val="32"/>
          <w:lang w:eastAsia="zh-CN"/>
        </w:rPr>
      </w:pPr>
      <w:bookmarkStart w:id="9" w:name="bookmark24"/>
      <w:bookmarkEnd w:id="9"/>
      <w:r>
        <w:rPr>
          <w:rFonts w:ascii="黑体" w:hAnsi="黑体" w:eastAsia="黑体" w:cs="黑体"/>
          <w:spacing w:val="8"/>
          <w:sz w:val="32"/>
          <w:szCs w:val="32"/>
          <w:lang w:eastAsia="zh-CN"/>
        </w:rPr>
        <w:t>四、财政拨款收入支出决算总体情况说明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2024年度财政拨款收入</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万元，支出</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万元。与2023年度相比，财政拨款收入</w:t>
      </w:r>
      <w:r>
        <w:rPr>
          <w:rFonts w:hint="eastAsia" w:ascii="仿宋_GB2312" w:hAnsi="仿宋_GB2312" w:eastAsia="仿宋_GB2312" w:cs="仿宋_GB2312"/>
          <w:color w:val="333333"/>
          <w:spacing w:val="9"/>
          <w:sz w:val="32"/>
          <w:szCs w:val="32"/>
          <w:lang w:eastAsia="zh-CN"/>
        </w:rPr>
        <w:t>减少168.85</w:t>
      </w:r>
      <w:r>
        <w:rPr>
          <w:rFonts w:ascii="仿宋_GB2312" w:hAnsi="仿宋_GB2312" w:eastAsia="仿宋_GB2312" w:cs="仿宋_GB2312"/>
          <w:color w:val="333333"/>
          <w:spacing w:val="9"/>
          <w:sz w:val="32"/>
          <w:szCs w:val="32"/>
          <w:lang w:eastAsia="zh-CN"/>
        </w:rPr>
        <w:t>万元，</w:t>
      </w:r>
      <w:r>
        <w:rPr>
          <w:rFonts w:hint="eastAsia" w:ascii="仿宋_GB2312" w:hAnsi="仿宋_GB2312" w:eastAsia="仿宋_GB2312" w:cs="仿宋_GB2312"/>
          <w:color w:val="333333"/>
          <w:spacing w:val="9"/>
          <w:sz w:val="32"/>
          <w:szCs w:val="32"/>
          <w:lang w:eastAsia="zh-CN"/>
        </w:rPr>
        <w:t>下降26.39</w:t>
      </w:r>
      <w:r>
        <w:rPr>
          <w:rFonts w:ascii="仿宋_GB2312" w:hAnsi="仿宋_GB2312" w:eastAsia="仿宋_GB2312" w:cs="仿宋_GB2312"/>
          <w:color w:val="333333"/>
          <w:spacing w:val="9"/>
          <w:sz w:val="32"/>
          <w:szCs w:val="32"/>
          <w:lang w:eastAsia="zh-CN"/>
        </w:rPr>
        <w:t>%，主要原因：项目资金比上年度</w:t>
      </w:r>
      <w:r>
        <w:rPr>
          <w:rFonts w:hint="eastAsia" w:ascii="仿宋_GB2312" w:hAnsi="仿宋_GB2312" w:eastAsia="仿宋_GB2312" w:cs="仿宋_GB2312"/>
          <w:color w:val="333333"/>
          <w:spacing w:val="9"/>
          <w:sz w:val="32"/>
          <w:szCs w:val="32"/>
          <w:lang w:eastAsia="zh-CN"/>
        </w:rPr>
        <w:t>减少</w:t>
      </w:r>
      <w:r>
        <w:rPr>
          <w:rFonts w:ascii="仿宋_GB2312" w:hAnsi="仿宋_GB2312" w:eastAsia="仿宋_GB2312" w:cs="仿宋_GB2312"/>
          <w:color w:val="333333"/>
          <w:spacing w:val="9"/>
          <w:sz w:val="32"/>
          <w:szCs w:val="32"/>
          <w:lang w:eastAsia="zh-CN"/>
        </w:rPr>
        <w:t>。支出</w:t>
      </w:r>
      <w:r>
        <w:rPr>
          <w:rFonts w:hint="eastAsia" w:ascii="仿宋_GB2312" w:hAnsi="仿宋_GB2312" w:eastAsia="仿宋_GB2312" w:cs="仿宋_GB2312"/>
          <w:color w:val="333333"/>
          <w:spacing w:val="9"/>
          <w:sz w:val="32"/>
          <w:szCs w:val="32"/>
          <w:lang w:eastAsia="zh-CN"/>
        </w:rPr>
        <w:t>减少168.85</w:t>
      </w:r>
      <w:r>
        <w:rPr>
          <w:rFonts w:ascii="仿宋_GB2312" w:hAnsi="仿宋_GB2312" w:eastAsia="仿宋_GB2312" w:cs="仿宋_GB2312"/>
          <w:color w:val="333333"/>
          <w:spacing w:val="9"/>
          <w:sz w:val="32"/>
          <w:szCs w:val="32"/>
          <w:lang w:eastAsia="zh-CN"/>
        </w:rPr>
        <w:t>万元，</w:t>
      </w:r>
      <w:r>
        <w:rPr>
          <w:rFonts w:hint="eastAsia" w:ascii="仿宋_GB2312" w:hAnsi="仿宋_GB2312" w:eastAsia="仿宋_GB2312" w:cs="仿宋_GB2312"/>
          <w:color w:val="333333"/>
          <w:spacing w:val="9"/>
          <w:sz w:val="32"/>
          <w:szCs w:val="32"/>
          <w:lang w:eastAsia="zh-CN"/>
        </w:rPr>
        <w:t>下降26.39</w:t>
      </w:r>
      <w:r>
        <w:rPr>
          <w:rFonts w:ascii="仿宋_GB2312" w:hAnsi="仿宋_GB2312" w:eastAsia="仿宋_GB2312" w:cs="仿宋_GB2312"/>
          <w:color w:val="333333"/>
          <w:spacing w:val="9"/>
          <w:sz w:val="32"/>
          <w:szCs w:val="32"/>
          <w:lang w:eastAsia="zh-CN"/>
        </w:rPr>
        <w:t>%，主要原因：项目资金比上年度</w:t>
      </w:r>
      <w:r>
        <w:rPr>
          <w:rFonts w:hint="eastAsia" w:ascii="仿宋_GB2312" w:hAnsi="仿宋_GB2312" w:eastAsia="仿宋_GB2312" w:cs="仿宋_GB2312"/>
          <w:color w:val="333333"/>
          <w:spacing w:val="9"/>
          <w:sz w:val="32"/>
          <w:szCs w:val="32"/>
          <w:lang w:eastAsia="zh-CN"/>
        </w:rPr>
        <w:t>减少</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财政拨款年初结转结余0万元，较2023年度决算数增加（减少）</w:t>
      </w:r>
      <w:r>
        <w:rPr>
          <w:rFonts w:hint="eastAsia" w:ascii="仿宋_GB2312" w:hAnsi="仿宋_GB2312" w:eastAsia="仿宋_GB2312" w:cs="仿宋_GB2312"/>
          <w:color w:val="333333"/>
          <w:spacing w:val="9"/>
          <w:sz w:val="32"/>
          <w:szCs w:val="32"/>
          <w:lang w:eastAsia="zh-CN"/>
        </w:rPr>
        <w:t>0</w:t>
      </w:r>
      <w:bookmarkStart w:id="10" w:name="bookmark25"/>
      <w:bookmarkEnd w:id="10"/>
      <w:r>
        <w:rPr>
          <w:rFonts w:ascii="仿宋_GB2312" w:hAnsi="仿宋_GB2312" w:eastAsia="仿宋_GB2312" w:cs="仿宋_GB2312"/>
          <w:color w:val="333333"/>
          <w:spacing w:val="9"/>
          <w:sz w:val="32"/>
          <w:szCs w:val="32"/>
          <w:lang w:eastAsia="zh-CN"/>
        </w:rPr>
        <w:t>万元，增长（下降）</w:t>
      </w:r>
      <w:r>
        <w:rPr>
          <w:rFonts w:hint="eastAsia" w:ascii="仿宋_GB2312" w:hAnsi="仿宋_GB2312" w:eastAsia="仿宋_GB2312" w:cs="仿宋_GB2312"/>
          <w:color w:val="333333"/>
          <w:spacing w:val="9"/>
          <w:sz w:val="32"/>
          <w:szCs w:val="32"/>
          <w:lang w:eastAsia="zh-CN"/>
        </w:rPr>
        <w:t>0</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财政拨款年末结转结余0万元，较2023年度决算数增加（减少）万元，增长（下降）</w:t>
      </w:r>
      <w:r>
        <w:rPr>
          <w:rFonts w:hint="eastAsia" w:ascii="仿宋_GB2312" w:hAnsi="仿宋_GB2312" w:eastAsia="仿宋_GB2312" w:cs="仿宋_GB2312"/>
          <w:color w:val="333333"/>
          <w:spacing w:val="9"/>
          <w:sz w:val="32"/>
          <w:szCs w:val="32"/>
          <w:lang w:eastAsia="zh-CN"/>
        </w:rPr>
        <w:t>0</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outlineLvl w:val="0"/>
        <w:rPr>
          <w:rFonts w:hint="eastAsia" w:ascii="黑体" w:hAnsi="黑体" w:eastAsia="黑体" w:cs="黑体"/>
          <w:sz w:val="32"/>
          <w:szCs w:val="32"/>
          <w:lang w:eastAsia="zh-CN"/>
        </w:rPr>
      </w:pPr>
      <w:bookmarkStart w:id="11" w:name="bookmark6"/>
      <w:bookmarkEnd w:id="11"/>
      <w:r>
        <w:rPr>
          <w:rFonts w:ascii="黑体" w:hAnsi="黑体" w:eastAsia="黑体" w:cs="黑体"/>
          <w:spacing w:val="8"/>
          <w:sz w:val="32"/>
          <w:szCs w:val="32"/>
          <w:lang w:eastAsia="zh-CN"/>
        </w:rPr>
        <w:t>五、一般公共预算财政拨款支出决算情况说明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楷体" w:hAnsi="楷体" w:eastAsia="楷体" w:cs="楷体"/>
          <w:color w:val="333333"/>
          <w:spacing w:val="9"/>
          <w:sz w:val="32"/>
          <w:szCs w:val="32"/>
          <w:lang w:eastAsia="zh-CN"/>
        </w:rPr>
      </w:pPr>
      <w:r>
        <w:rPr>
          <w:rFonts w:hint="eastAsia" w:ascii="楷体" w:hAnsi="楷体" w:eastAsia="楷体" w:cs="楷体"/>
          <w:color w:val="333333"/>
          <w:spacing w:val="9"/>
          <w:sz w:val="32"/>
          <w:szCs w:val="32"/>
          <w:lang w:eastAsia="zh-CN"/>
        </w:rPr>
        <w:t>（一）一般公共预算财政拨款支出决算总体情况。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2024年度一般公共预算财政拨款支出</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万元，占本年</w:t>
      </w:r>
      <w:bookmarkStart w:id="12" w:name="bookmark11"/>
      <w:bookmarkEnd w:id="12"/>
      <w:bookmarkStart w:id="13" w:name="bookmark14"/>
      <w:bookmarkEnd w:id="13"/>
      <w:bookmarkStart w:id="14" w:name="bookmark10"/>
      <w:bookmarkEnd w:id="14"/>
      <w:bookmarkStart w:id="15" w:name="bookmark8"/>
      <w:bookmarkEnd w:id="15"/>
      <w:bookmarkStart w:id="16" w:name="bookmark9"/>
      <w:bookmarkEnd w:id="16"/>
      <w:bookmarkStart w:id="17" w:name="bookmark7"/>
      <w:bookmarkEnd w:id="17"/>
      <w:bookmarkStart w:id="18" w:name="bookmark15"/>
      <w:bookmarkEnd w:id="18"/>
      <w:r>
        <w:rPr>
          <w:rFonts w:ascii="仿宋_GB2312" w:hAnsi="仿宋_GB2312" w:eastAsia="仿宋_GB2312" w:cs="仿宋_GB2312"/>
          <w:color w:val="333333"/>
          <w:spacing w:val="9"/>
          <w:sz w:val="32"/>
          <w:szCs w:val="32"/>
          <w:lang w:eastAsia="zh-CN"/>
        </w:rPr>
        <w:t>支出合计的</w:t>
      </w:r>
      <w:r>
        <w:rPr>
          <w:rFonts w:hint="eastAsia" w:ascii="仿宋_GB2312" w:hAnsi="仿宋_GB2312" w:eastAsia="仿宋_GB2312" w:cs="仿宋_GB2312"/>
          <w:color w:val="333333"/>
          <w:spacing w:val="9"/>
          <w:sz w:val="32"/>
          <w:szCs w:val="32"/>
          <w:lang w:eastAsia="zh-CN"/>
        </w:rPr>
        <w:t>99.6</w:t>
      </w:r>
      <w:r>
        <w:rPr>
          <w:rFonts w:ascii="仿宋_GB2312" w:hAnsi="仿宋_GB2312" w:eastAsia="仿宋_GB2312" w:cs="仿宋_GB2312"/>
          <w:color w:val="333333"/>
          <w:spacing w:val="9"/>
          <w:sz w:val="32"/>
          <w:szCs w:val="32"/>
          <w:lang w:eastAsia="zh-CN"/>
        </w:rPr>
        <w:t>%。与2023年度相比，一般公共预算财政拨款支出</w:t>
      </w:r>
      <w:r>
        <w:rPr>
          <w:rFonts w:hint="eastAsia" w:ascii="仿宋_GB2312" w:hAnsi="仿宋_GB2312" w:eastAsia="仿宋_GB2312" w:cs="仿宋_GB2312"/>
          <w:color w:val="333333"/>
          <w:spacing w:val="9"/>
          <w:sz w:val="32"/>
          <w:szCs w:val="32"/>
          <w:lang w:eastAsia="zh-CN"/>
        </w:rPr>
        <w:t>减少168.85</w:t>
      </w:r>
      <w:r>
        <w:rPr>
          <w:rFonts w:ascii="仿宋_GB2312" w:hAnsi="仿宋_GB2312" w:eastAsia="仿宋_GB2312" w:cs="仿宋_GB2312"/>
          <w:color w:val="333333"/>
          <w:spacing w:val="9"/>
          <w:sz w:val="32"/>
          <w:szCs w:val="32"/>
          <w:lang w:eastAsia="zh-CN"/>
        </w:rPr>
        <w:t>万元，主要原因是减少了2个项目。</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楷体" w:hAnsi="楷体" w:eastAsia="楷体" w:cs="楷体"/>
          <w:color w:val="333333"/>
          <w:spacing w:val="9"/>
          <w:sz w:val="32"/>
          <w:szCs w:val="32"/>
          <w:lang w:eastAsia="zh-CN"/>
        </w:rPr>
      </w:pPr>
      <w:r>
        <w:rPr>
          <w:rFonts w:hint="eastAsia" w:ascii="楷体" w:hAnsi="楷体" w:eastAsia="楷体" w:cs="楷体"/>
          <w:color w:val="333333"/>
          <w:spacing w:val="9"/>
          <w:sz w:val="32"/>
          <w:szCs w:val="32"/>
          <w:lang w:eastAsia="zh-CN"/>
        </w:rPr>
        <w:t>（二）一般公共预算财政拨款支出决算结构情况。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2024年度一般公共预算财政拨款支出</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万元，主要用于以下方面：</w:t>
      </w:r>
      <w:r>
        <w:rPr>
          <w:rFonts w:ascii="仿宋_GB2312" w:hAnsi="仿宋_GB2312" w:eastAsia="仿宋_GB2312" w:cs="仿宋_GB2312"/>
          <w:b/>
          <w:bCs/>
          <w:spacing w:val="-5"/>
          <w:sz w:val="32"/>
          <w:szCs w:val="32"/>
          <w:lang w:eastAsia="zh-CN"/>
        </w:rPr>
        <w:t>社会保障和就业（类）</w:t>
      </w:r>
      <w:r>
        <w:rPr>
          <w:rFonts w:ascii="仿宋_GB2312" w:hAnsi="仿宋_GB2312" w:eastAsia="仿宋_GB2312" w:cs="仿宋_GB2312"/>
          <w:color w:val="333333"/>
          <w:spacing w:val="9"/>
          <w:sz w:val="32"/>
          <w:szCs w:val="32"/>
          <w:lang w:eastAsia="zh-CN"/>
        </w:rPr>
        <w:t>支出</w:t>
      </w:r>
      <w:r>
        <w:rPr>
          <w:rFonts w:hint="eastAsia" w:ascii="仿宋_GB2312" w:hAnsi="仿宋_GB2312" w:eastAsia="仿宋_GB2312" w:cs="仿宋_GB2312"/>
          <w:color w:val="333333"/>
          <w:spacing w:val="9"/>
          <w:sz w:val="32"/>
          <w:szCs w:val="32"/>
          <w:lang w:eastAsia="zh-CN"/>
        </w:rPr>
        <w:t>55.44</w:t>
      </w:r>
      <w:r>
        <w:rPr>
          <w:rFonts w:ascii="仿宋_GB2312" w:hAnsi="仿宋_GB2312" w:eastAsia="仿宋_GB2312" w:cs="仿宋_GB2312"/>
          <w:color w:val="333333"/>
          <w:spacing w:val="9"/>
          <w:sz w:val="32"/>
          <w:szCs w:val="32"/>
          <w:lang w:eastAsia="zh-CN"/>
        </w:rPr>
        <w:t>万元，占11.</w:t>
      </w:r>
      <w:r>
        <w:rPr>
          <w:rFonts w:hint="eastAsia" w:ascii="仿宋_GB2312" w:hAnsi="仿宋_GB2312" w:eastAsia="仿宋_GB2312" w:cs="仿宋_GB2312"/>
          <w:color w:val="333333"/>
          <w:spacing w:val="9"/>
          <w:sz w:val="32"/>
          <w:szCs w:val="32"/>
          <w:lang w:eastAsia="zh-CN"/>
        </w:rPr>
        <w:t>82</w:t>
      </w:r>
      <w:r>
        <w:rPr>
          <w:rFonts w:ascii="仿宋_GB2312" w:hAnsi="仿宋_GB2312" w:eastAsia="仿宋_GB2312" w:cs="仿宋_GB2312"/>
          <w:color w:val="333333"/>
          <w:spacing w:val="9"/>
          <w:sz w:val="32"/>
          <w:szCs w:val="32"/>
          <w:lang w:eastAsia="zh-CN"/>
        </w:rPr>
        <w:t>%；</w:t>
      </w:r>
      <w:r>
        <w:rPr>
          <w:rFonts w:ascii="仿宋_GB2312" w:hAnsi="仿宋_GB2312" w:eastAsia="仿宋_GB2312" w:cs="仿宋_GB2312"/>
          <w:b/>
          <w:bCs/>
          <w:sz w:val="32"/>
          <w:szCs w:val="32"/>
          <w:lang w:eastAsia="zh-CN"/>
        </w:rPr>
        <w:t>卫生健康（类）</w:t>
      </w:r>
      <w:r>
        <w:rPr>
          <w:rFonts w:ascii="仿宋_GB2312" w:hAnsi="仿宋_GB2312" w:eastAsia="仿宋_GB2312" w:cs="仿宋_GB2312"/>
          <w:color w:val="333333"/>
          <w:spacing w:val="9"/>
          <w:sz w:val="32"/>
          <w:szCs w:val="32"/>
          <w:lang w:eastAsia="zh-CN"/>
        </w:rPr>
        <w:t>支出</w:t>
      </w:r>
      <w:r>
        <w:rPr>
          <w:rFonts w:hint="eastAsia" w:ascii="仿宋_GB2312" w:hAnsi="仿宋_GB2312" w:eastAsia="仿宋_GB2312" w:cs="仿宋_GB2312"/>
          <w:color w:val="333333"/>
          <w:spacing w:val="9"/>
          <w:sz w:val="32"/>
          <w:szCs w:val="32"/>
          <w:lang w:eastAsia="zh-CN"/>
        </w:rPr>
        <w:t>26.03</w:t>
      </w:r>
      <w:r>
        <w:rPr>
          <w:rFonts w:ascii="仿宋_GB2312" w:hAnsi="仿宋_GB2312" w:eastAsia="仿宋_GB2312" w:cs="仿宋_GB2312"/>
          <w:color w:val="333333"/>
          <w:spacing w:val="9"/>
          <w:sz w:val="32"/>
          <w:szCs w:val="32"/>
          <w:lang w:eastAsia="zh-CN"/>
        </w:rPr>
        <w:t>万元，占</w:t>
      </w:r>
      <w:r>
        <w:rPr>
          <w:rFonts w:hint="eastAsia" w:ascii="仿宋_GB2312" w:hAnsi="仿宋_GB2312" w:eastAsia="仿宋_GB2312" w:cs="仿宋_GB2312"/>
          <w:color w:val="333333"/>
          <w:spacing w:val="9"/>
          <w:sz w:val="32"/>
          <w:szCs w:val="32"/>
          <w:lang w:eastAsia="zh-CN"/>
        </w:rPr>
        <w:t>5.55</w:t>
      </w:r>
      <w:r>
        <w:rPr>
          <w:rFonts w:ascii="仿宋_GB2312" w:hAnsi="仿宋_GB2312" w:eastAsia="仿宋_GB2312" w:cs="仿宋_GB2312"/>
          <w:color w:val="333333"/>
          <w:spacing w:val="9"/>
          <w:sz w:val="32"/>
          <w:szCs w:val="32"/>
          <w:lang w:eastAsia="zh-CN"/>
        </w:rPr>
        <w:t>%；</w:t>
      </w:r>
      <w:r>
        <w:rPr>
          <w:rFonts w:ascii="仿宋_GB2312" w:hAnsi="仿宋_GB2312" w:eastAsia="仿宋_GB2312" w:cs="仿宋_GB2312"/>
          <w:b/>
          <w:bCs/>
          <w:sz w:val="32"/>
          <w:szCs w:val="32"/>
          <w:lang w:eastAsia="zh-CN"/>
        </w:rPr>
        <w:t>节能环保（类）</w:t>
      </w:r>
      <w:r>
        <w:rPr>
          <w:rFonts w:ascii="仿宋_GB2312" w:hAnsi="仿宋_GB2312" w:eastAsia="仿宋_GB2312" w:cs="仿宋_GB2312"/>
          <w:color w:val="333333"/>
          <w:spacing w:val="9"/>
          <w:sz w:val="32"/>
          <w:szCs w:val="32"/>
          <w:lang w:eastAsia="zh-CN"/>
        </w:rPr>
        <w:t>支出</w:t>
      </w:r>
      <w:r>
        <w:rPr>
          <w:rFonts w:hint="eastAsia" w:ascii="仿宋_GB2312" w:hAnsi="仿宋_GB2312" w:eastAsia="仿宋_GB2312" w:cs="仿宋_GB2312"/>
          <w:color w:val="333333"/>
          <w:spacing w:val="9"/>
          <w:sz w:val="32"/>
          <w:szCs w:val="32"/>
          <w:lang w:eastAsia="zh-CN"/>
        </w:rPr>
        <w:t>67.72</w:t>
      </w:r>
      <w:r>
        <w:rPr>
          <w:rFonts w:ascii="仿宋_GB2312" w:hAnsi="仿宋_GB2312" w:eastAsia="仿宋_GB2312" w:cs="仿宋_GB2312"/>
          <w:color w:val="333333"/>
          <w:spacing w:val="9"/>
          <w:sz w:val="32"/>
          <w:szCs w:val="32"/>
          <w:lang w:eastAsia="zh-CN"/>
        </w:rPr>
        <w:t>万元，占</w:t>
      </w:r>
      <w:r>
        <w:rPr>
          <w:rFonts w:hint="eastAsia" w:ascii="仿宋_GB2312" w:hAnsi="仿宋_GB2312" w:eastAsia="仿宋_GB2312" w:cs="仿宋_GB2312"/>
          <w:color w:val="333333"/>
          <w:spacing w:val="9"/>
          <w:sz w:val="32"/>
          <w:szCs w:val="32"/>
          <w:lang w:eastAsia="zh-CN"/>
        </w:rPr>
        <w:t>14.44</w:t>
      </w:r>
      <w:r>
        <w:rPr>
          <w:rFonts w:ascii="仿宋_GB2312" w:hAnsi="仿宋_GB2312" w:eastAsia="仿宋_GB2312" w:cs="仿宋_GB2312"/>
          <w:color w:val="333333"/>
          <w:spacing w:val="9"/>
          <w:sz w:val="32"/>
          <w:szCs w:val="32"/>
          <w:lang w:eastAsia="zh-CN"/>
        </w:rPr>
        <w:t>%；</w:t>
      </w:r>
      <w:r>
        <w:rPr>
          <w:rFonts w:ascii="仿宋_GB2312" w:hAnsi="仿宋_GB2312" w:eastAsia="仿宋_GB2312" w:cs="仿宋_GB2312"/>
          <w:b/>
          <w:bCs/>
          <w:spacing w:val="3"/>
          <w:sz w:val="32"/>
          <w:szCs w:val="32"/>
          <w:lang w:eastAsia="zh-CN"/>
        </w:rPr>
        <w:t>农林水（类）</w:t>
      </w:r>
      <w:r>
        <w:rPr>
          <w:rFonts w:ascii="仿宋_GB2312" w:hAnsi="仿宋_GB2312" w:eastAsia="仿宋_GB2312" w:cs="仿宋_GB2312"/>
          <w:color w:val="333333"/>
          <w:spacing w:val="9"/>
          <w:sz w:val="32"/>
          <w:szCs w:val="32"/>
          <w:lang w:eastAsia="zh-CN"/>
        </w:rPr>
        <w:t>支出</w:t>
      </w:r>
      <w:r>
        <w:rPr>
          <w:rFonts w:hint="eastAsia" w:ascii="仿宋_GB2312" w:hAnsi="仿宋_GB2312" w:eastAsia="仿宋_GB2312" w:cs="仿宋_GB2312"/>
          <w:color w:val="333333"/>
          <w:spacing w:val="9"/>
          <w:sz w:val="32"/>
          <w:szCs w:val="32"/>
          <w:lang w:eastAsia="zh-CN"/>
        </w:rPr>
        <w:t>302.74</w:t>
      </w:r>
      <w:r>
        <w:rPr>
          <w:rFonts w:ascii="仿宋_GB2312" w:hAnsi="仿宋_GB2312" w:eastAsia="仿宋_GB2312" w:cs="仿宋_GB2312"/>
          <w:color w:val="333333"/>
          <w:spacing w:val="9"/>
          <w:sz w:val="32"/>
          <w:szCs w:val="32"/>
          <w:lang w:eastAsia="zh-CN"/>
        </w:rPr>
        <w:t>万元，占</w:t>
      </w:r>
      <w:r>
        <w:rPr>
          <w:rFonts w:hint="eastAsia" w:ascii="仿宋_GB2312" w:hAnsi="仿宋_GB2312" w:eastAsia="仿宋_GB2312" w:cs="仿宋_GB2312"/>
          <w:color w:val="333333"/>
          <w:spacing w:val="9"/>
          <w:sz w:val="32"/>
          <w:szCs w:val="32"/>
          <w:lang w:eastAsia="zh-CN"/>
        </w:rPr>
        <w:t>64.54</w:t>
      </w:r>
      <w:r>
        <w:rPr>
          <w:rFonts w:ascii="仿宋_GB2312" w:hAnsi="仿宋_GB2312" w:eastAsia="仿宋_GB2312" w:cs="仿宋_GB2312"/>
          <w:color w:val="333333"/>
          <w:spacing w:val="9"/>
          <w:sz w:val="32"/>
          <w:szCs w:val="32"/>
          <w:lang w:eastAsia="zh-CN"/>
        </w:rPr>
        <w:t>%；</w:t>
      </w:r>
      <w:r>
        <w:rPr>
          <w:rFonts w:ascii="仿宋_GB2312" w:hAnsi="仿宋_GB2312" w:eastAsia="仿宋_GB2312" w:cs="仿宋_GB2312"/>
          <w:b/>
          <w:bCs/>
          <w:sz w:val="32"/>
          <w:szCs w:val="32"/>
          <w:lang w:eastAsia="zh-CN"/>
        </w:rPr>
        <w:t>住房保障（类）</w:t>
      </w:r>
      <w:r>
        <w:rPr>
          <w:rFonts w:ascii="仿宋_GB2312" w:hAnsi="仿宋_GB2312" w:eastAsia="仿宋_GB2312" w:cs="仿宋_GB2312"/>
          <w:color w:val="333333"/>
          <w:spacing w:val="9"/>
          <w:sz w:val="32"/>
          <w:szCs w:val="32"/>
          <w:lang w:eastAsia="zh-CN"/>
        </w:rPr>
        <w:t>支出</w:t>
      </w:r>
      <w:r>
        <w:rPr>
          <w:rFonts w:hint="eastAsia" w:ascii="仿宋_GB2312" w:hAnsi="仿宋_GB2312" w:eastAsia="仿宋_GB2312" w:cs="仿宋_GB2312"/>
          <w:color w:val="333333"/>
          <w:spacing w:val="9"/>
          <w:sz w:val="32"/>
          <w:szCs w:val="32"/>
          <w:lang w:eastAsia="zh-CN"/>
        </w:rPr>
        <w:t>17.13</w:t>
      </w:r>
      <w:r>
        <w:rPr>
          <w:rFonts w:ascii="仿宋_GB2312" w:hAnsi="仿宋_GB2312" w:eastAsia="仿宋_GB2312" w:cs="仿宋_GB2312"/>
          <w:color w:val="333333"/>
          <w:spacing w:val="9"/>
          <w:sz w:val="32"/>
          <w:szCs w:val="32"/>
          <w:lang w:eastAsia="zh-CN"/>
        </w:rPr>
        <w:t>万元，占3.6</w:t>
      </w:r>
      <w:r>
        <w:rPr>
          <w:rFonts w:hint="eastAsia" w:ascii="仿宋_GB2312" w:hAnsi="仿宋_GB2312" w:eastAsia="仿宋_GB2312" w:cs="仿宋_GB2312"/>
          <w:color w:val="333333"/>
          <w:spacing w:val="9"/>
          <w:sz w:val="32"/>
          <w:szCs w:val="32"/>
          <w:lang w:eastAsia="zh-CN"/>
        </w:rPr>
        <w:t>5</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楷体" w:hAnsi="楷体" w:eastAsia="楷体" w:cs="楷体"/>
          <w:color w:val="333333"/>
          <w:spacing w:val="9"/>
          <w:sz w:val="32"/>
          <w:szCs w:val="32"/>
          <w:lang w:eastAsia="zh-CN"/>
        </w:rPr>
      </w:pPr>
      <w:r>
        <w:rPr>
          <w:rFonts w:hint="eastAsia" w:ascii="楷体" w:hAnsi="楷体" w:eastAsia="楷体" w:cs="楷体"/>
          <w:color w:val="333333"/>
          <w:spacing w:val="9"/>
          <w:sz w:val="32"/>
          <w:szCs w:val="32"/>
          <w:lang w:eastAsia="zh-CN"/>
        </w:rPr>
        <w:t>（三）一般公共预算财政拨款支出决算具体情况。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color w:val="333333"/>
          <w:spacing w:val="9"/>
          <w:sz w:val="32"/>
          <w:szCs w:val="32"/>
          <w:lang w:eastAsia="zh-CN"/>
        </w:rPr>
        <w:t>2024年度一般公共预算财政拨款支出年初预算为</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469.05</w:t>
      </w:r>
      <w:r>
        <w:rPr>
          <w:rFonts w:ascii="仿宋_GB2312" w:hAnsi="仿宋_GB2312" w:eastAsia="仿宋_GB2312" w:cs="仿宋_GB2312"/>
          <w:color w:val="333333"/>
          <w:spacing w:val="9"/>
          <w:sz w:val="32"/>
          <w:szCs w:val="32"/>
          <w:lang w:eastAsia="zh-CN"/>
        </w:rPr>
        <w:t>万元，完成年初预算的</w:t>
      </w:r>
      <w:r>
        <w:rPr>
          <w:rFonts w:hint="eastAsia" w:ascii="仿宋_GB2312" w:hAnsi="仿宋_GB2312" w:eastAsia="仿宋_GB2312" w:cs="仿宋_GB2312"/>
          <w:color w:val="333333"/>
          <w:spacing w:val="9"/>
          <w:sz w:val="32"/>
          <w:szCs w:val="32"/>
          <w:lang w:eastAsia="zh-CN"/>
        </w:rPr>
        <w:t>100</w:t>
      </w:r>
      <w:r>
        <w:rPr>
          <w:rFonts w:ascii="仿宋_GB2312" w:hAnsi="仿宋_GB2312" w:eastAsia="仿宋_GB2312" w:cs="仿宋_GB2312"/>
          <w:color w:val="333333"/>
          <w:spacing w:val="9"/>
          <w:sz w:val="32"/>
          <w:szCs w:val="32"/>
          <w:lang w:eastAsia="zh-CN"/>
        </w:rPr>
        <w:t>%。其中</w:t>
      </w:r>
      <w:r>
        <w:rPr>
          <w:rFonts w:ascii="仿宋_GB2312" w:hAnsi="仿宋_GB2312" w:eastAsia="仿宋_GB2312" w:cs="仿宋_GB2312"/>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7" w:right="67" w:firstLine="647"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1"/>
          <w:sz w:val="32"/>
          <w:szCs w:val="32"/>
          <w:lang w:eastAsia="zh-CN"/>
        </w:rPr>
        <w:t>1.社会保障和就业（类）行政事业单位养老支出（款）机关</w:t>
      </w:r>
      <w:r>
        <w:rPr>
          <w:rFonts w:ascii="仿宋_GB2312" w:hAnsi="仿宋_GB2312" w:eastAsia="仿宋_GB2312" w:cs="仿宋_GB2312"/>
          <w:b/>
          <w:bCs/>
          <w:spacing w:val="5"/>
          <w:sz w:val="32"/>
          <w:szCs w:val="32"/>
          <w:lang w:eastAsia="zh-CN"/>
        </w:rPr>
        <w:t>事业单位基本养老保险缴费支出（项）。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20.92</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20.92</w:t>
      </w:r>
      <w:r>
        <w:rPr>
          <w:rFonts w:ascii="仿宋_GB2312" w:hAnsi="仿宋_GB2312" w:eastAsia="仿宋_GB2312" w:cs="仿宋_GB2312"/>
          <w:color w:val="333333"/>
          <w:spacing w:val="9"/>
          <w:sz w:val="32"/>
          <w:szCs w:val="32"/>
          <w:lang w:eastAsia="zh-CN"/>
        </w:rPr>
        <w:t>万元，完成年初预算的100%。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13" w:right="84" w:firstLine="647"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1"/>
          <w:sz w:val="32"/>
          <w:szCs w:val="32"/>
          <w:lang w:eastAsia="zh-CN"/>
        </w:rPr>
        <w:t>2.社会保障和就业（类）行政事业单位养老支出（款）机关</w:t>
      </w:r>
      <w:bookmarkStart w:id="19" w:name="bookmark26"/>
      <w:bookmarkEnd w:id="19"/>
      <w:r>
        <w:rPr>
          <w:rFonts w:ascii="仿宋_GB2312" w:hAnsi="仿宋_GB2312" w:eastAsia="仿宋_GB2312" w:cs="仿宋_GB2312"/>
          <w:b/>
          <w:bCs/>
          <w:spacing w:val="5"/>
          <w:sz w:val="32"/>
          <w:szCs w:val="32"/>
          <w:lang w:eastAsia="zh-CN"/>
        </w:rPr>
        <w:t>事业单位职业年金缴费支出（项）。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34.52</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34.52</w:t>
      </w:r>
      <w:r>
        <w:rPr>
          <w:rFonts w:ascii="仿宋_GB2312" w:hAnsi="仿宋_GB2312" w:eastAsia="仿宋_GB2312" w:cs="仿宋_GB2312"/>
          <w:color w:val="333333"/>
          <w:spacing w:val="9"/>
          <w:sz w:val="32"/>
          <w:szCs w:val="32"/>
          <w:lang w:eastAsia="zh-CN"/>
        </w:rPr>
        <w:t>万元，完成年初预算的</w:t>
      </w:r>
      <w:r>
        <w:rPr>
          <w:rFonts w:hint="eastAsia" w:ascii="仿宋_GB2312" w:hAnsi="仿宋_GB2312" w:eastAsia="仿宋_GB2312" w:cs="仿宋_GB2312"/>
          <w:color w:val="333333"/>
          <w:spacing w:val="9"/>
          <w:sz w:val="32"/>
          <w:szCs w:val="32"/>
          <w:lang w:eastAsia="zh-CN"/>
        </w:rPr>
        <w:t>100</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3" w:right="86" w:firstLine="647"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1"/>
          <w:sz w:val="32"/>
          <w:szCs w:val="32"/>
          <w:lang w:eastAsia="zh-CN"/>
        </w:rPr>
        <w:t>3.卫生健康支出（类）行政事业单位医疗（款</w:t>
      </w:r>
      <w:r>
        <w:rPr>
          <w:rFonts w:ascii="仿宋_GB2312" w:hAnsi="仿宋_GB2312" w:eastAsia="仿宋_GB2312" w:cs="仿宋_GB2312"/>
          <w:b/>
          <w:bCs/>
          <w:sz w:val="32"/>
          <w:szCs w:val="32"/>
          <w:lang w:eastAsia="zh-CN"/>
        </w:rPr>
        <w:t>）事业单位医</w:t>
      </w:r>
      <w:r>
        <w:rPr>
          <w:rFonts w:ascii="仿宋_GB2312" w:hAnsi="仿宋_GB2312" w:eastAsia="仿宋_GB2312" w:cs="仿宋_GB2312"/>
          <w:b/>
          <w:bCs/>
          <w:spacing w:val="2"/>
          <w:sz w:val="32"/>
          <w:szCs w:val="32"/>
          <w:lang w:eastAsia="zh-CN"/>
        </w:rPr>
        <w:t>疗（项）。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8.48</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8.48</w:t>
      </w:r>
      <w:r>
        <w:rPr>
          <w:rFonts w:ascii="仿宋_GB2312" w:hAnsi="仿宋_GB2312" w:eastAsia="仿宋_GB2312" w:cs="仿宋_GB2312"/>
          <w:color w:val="333333"/>
          <w:spacing w:val="9"/>
          <w:sz w:val="32"/>
          <w:szCs w:val="32"/>
          <w:lang w:eastAsia="zh-CN"/>
        </w:rPr>
        <w:t>万元，完成年初预算的100%。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13" w:right="86" w:firstLine="647"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1"/>
          <w:sz w:val="32"/>
          <w:szCs w:val="32"/>
          <w:lang w:eastAsia="zh-CN"/>
        </w:rPr>
        <w:t>4.卫生健康支出（类）行政事业单位医疗（款）公务员医疗补助（项）。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 w:right="91" w:firstLine="676" w:firstLineChars="200"/>
        <w:jc w:val="both"/>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17.55</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17.55</w:t>
      </w:r>
      <w:r>
        <w:rPr>
          <w:rFonts w:ascii="仿宋_GB2312" w:hAnsi="仿宋_GB2312" w:eastAsia="仿宋_GB2312" w:cs="仿宋_GB2312"/>
          <w:color w:val="333333"/>
          <w:spacing w:val="9"/>
          <w:sz w:val="32"/>
          <w:szCs w:val="32"/>
          <w:lang w:eastAsia="zh-CN"/>
        </w:rPr>
        <w:t>万元，完成年初预算的</w:t>
      </w:r>
      <w:r>
        <w:rPr>
          <w:rFonts w:hint="eastAsia" w:ascii="仿宋_GB2312" w:hAnsi="仿宋_GB2312" w:eastAsia="仿宋_GB2312" w:cs="仿宋_GB2312"/>
          <w:color w:val="333333"/>
          <w:spacing w:val="9"/>
          <w:sz w:val="32"/>
          <w:szCs w:val="32"/>
          <w:lang w:eastAsia="zh-CN"/>
        </w:rPr>
        <w:t>100</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571"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18"/>
          <w:sz w:val="32"/>
          <w:szCs w:val="32"/>
          <w:lang w:eastAsia="zh-CN"/>
        </w:rPr>
        <w:t>5</w:t>
      </w:r>
      <w:r>
        <w:rPr>
          <w:rFonts w:ascii="仿宋_GB2312" w:hAnsi="仿宋_GB2312" w:eastAsia="仿宋_GB2312" w:cs="仿宋_GB2312"/>
          <w:b/>
          <w:bCs/>
          <w:spacing w:val="-18"/>
          <w:sz w:val="32"/>
          <w:szCs w:val="32"/>
          <w:lang w:eastAsia="zh-CN"/>
        </w:rPr>
        <w:t>.节能环保支出（类）</w:t>
      </w:r>
      <w:r>
        <w:rPr>
          <w:rFonts w:hint="eastAsia" w:ascii="仿宋_GB2312" w:hAnsi="仿宋_GB2312" w:eastAsia="仿宋_GB2312" w:cs="仿宋_GB2312"/>
          <w:b/>
          <w:bCs/>
          <w:spacing w:val="-18"/>
          <w:sz w:val="32"/>
          <w:szCs w:val="32"/>
          <w:lang w:eastAsia="zh-CN"/>
        </w:rPr>
        <w:t>自然生态保护</w:t>
      </w:r>
      <w:r>
        <w:rPr>
          <w:rFonts w:ascii="仿宋_GB2312" w:hAnsi="仿宋_GB2312" w:eastAsia="仿宋_GB2312" w:cs="仿宋_GB2312"/>
          <w:b/>
          <w:bCs/>
          <w:spacing w:val="-18"/>
          <w:sz w:val="32"/>
          <w:szCs w:val="32"/>
          <w:lang w:eastAsia="zh-CN"/>
        </w:rPr>
        <w:t>（款）自然保护地（项）。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 w:right="91"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44.82</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44.82</w:t>
      </w:r>
      <w:r>
        <w:rPr>
          <w:rFonts w:ascii="仿宋_GB2312" w:hAnsi="仿宋_GB2312" w:eastAsia="仿宋_GB2312" w:cs="仿宋_GB2312"/>
          <w:color w:val="333333"/>
          <w:spacing w:val="9"/>
          <w:sz w:val="32"/>
          <w:szCs w:val="32"/>
          <w:lang w:eastAsia="zh-CN"/>
        </w:rPr>
        <w:t>万元，完成年初预算的</w:t>
      </w:r>
      <w:r>
        <w:rPr>
          <w:rFonts w:hint="eastAsia" w:ascii="仿宋_GB2312" w:hAnsi="仿宋_GB2312" w:eastAsia="仿宋_GB2312" w:cs="仿宋_GB2312"/>
          <w:color w:val="333333"/>
          <w:spacing w:val="9"/>
          <w:sz w:val="32"/>
          <w:szCs w:val="32"/>
          <w:lang w:eastAsia="zh-CN"/>
        </w:rPr>
        <w:t>10</w:t>
      </w:r>
      <w:r>
        <w:rPr>
          <w:rFonts w:ascii="仿宋_GB2312" w:hAnsi="仿宋_GB2312" w:eastAsia="仿宋_GB2312" w:cs="仿宋_GB2312"/>
          <w:color w:val="333333"/>
          <w:spacing w:val="9"/>
          <w:sz w:val="32"/>
          <w:szCs w:val="32"/>
          <w:lang w:eastAsia="zh-CN"/>
        </w:rPr>
        <w:t>0%。</w:t>
      </w:r>
    </w:p>
    <w:p>
      <w:pPr>
        <w:keepNext w:val="0"/>
        <w:keepLines w:val="0"/>
        <w:pageBreakBefore w:val="0"/>
        <w:widowControl/>
        <w:kinsoku/>
        <w:wordWrap/>
        <w:overflowPunct/>
        <w:topLinePunct/>
        <w:autoSpaceDE/>
        <w:autoSpaceDN/>
        <w:bidi w:val="0"/>
        <w:adjustRightInd w:val="0"/>
        <w:snapToGrid w:val="0"/>
        <w:spacing w:after="0" w:line="560" w:lineRule="exact"/>
        <w:ind w:firstLine="659" w:firstLineChars="200"/>
        <w:jc w:val="left"/>
        <w:textAlignment w:val="baseline"/>
        <w:rPr>
          <w:rFonts w:hint="eastAsia" w:ascii="仿宋_GB2312" w:hAnsi="仿宋_GB2312" w:eastAsia="仿宋_GB2312" w:cs="仿宋_GB2312"/>
          <w:spacing w:val="-45"/>
          <w:sz w:val="32"/>
          <w:szCs w:val="32"/>
          <w:lang w:eastAsia="zh-CN"/>
        </w:rPr>
      </w:pPr>
      <w:bookmarkStart w:id="20" w:name="bookmark27"/>
      <w:bookmarkEnd w:id="20"/>
      <w:r>
        <w:rPr>
          <w:rFonts w:hint="eastAsia" w:ascii="仿宋_GB2312" w:hAnsi="仿宋_GB2312" w:eastAsia="仿宋_GB2312" w:cs="仿宋_GB2312"/>
          <w:b/>
          <w:bCs/>
          <w:spacing w:val="4"/>
          <w:sz w:val="32"/>
          <w:szCs w:val="32"/>
          <w:lang w:eastAsia="zh-CN"/>
        </w:rPr>
        <w:t>6</w:t>
      </w:r>
      <w:r>
        <w:rPr>
          <w:rFonts w:ascii="仿宋_GB2312" w:hAnsi="仿宋_GB2312" w:eastAsia="仿宋_GB2312" w:cs="仿宋_GB2312"/>
          <w:b/>
          <w:bCs/>
          <w:spacing w:val="4"/>
          <w:sz w:val="32"/>
          <w:szCs w:val="32"/>
          <w:lang w:eastAsia="zh-CN"/>
        </w:rPr>
        <w:t>.节能环保支出（类）</w:t>
      </w:r>
      <w:r>
        <w:rPr>
          <w:rFonts w:hint="eastAsia" w:ascii="仿宋_GB2312" w:hAnsi="仿宋_GB2312" w:eastAsia="仿宋_GB2312" w:cs="仿宋_GB2312"/>
          <w:b/>
          <w:bCs/>
          <w:spacing w:val="4"/>
          <w:sz w:val="32"/>
          <w:szCs w:val="32"/>
          <w:lang w:eastAsia="zh-CN"/>
        </w:rPr>
        <w:t>森林保护修复</w:t>
      </w:r>
      <w:r>
        <w:rPr>
          <w:rFonts w:ascii="仿宋_GB2312" w:hAnsi="仿宋_GB2312" w:eastAsia="仿宋_GB2312" w:cs="仿宋_GB2312"/>
          <w:b/>
          <w:bCs/>
          <w:spacing w:val="4"/>
          <w:sz w:val="32"/>
          <w:szCs w:val="32"/>
          <w:lang w:eastAsia="zh-CN"/>
        </w:rPr>
        <w:t>（款）森林</w:t>
      </w:r>
      <w:r>
        <w:rPr>
          <w:rFonts w:ascii="仿宋_GB2312" w:hAnsi="仿宋_GB2312" w:eastAsia="仿宋_GB2312" w:cs="仿宋_GB2312"/>
          <w:b/>
          <w:bCs/>
          <w:spacing w:val="-45"/>
          <w:sz w:val="32"/>
          <w:szCs w:val="32"/>
          <w:lang w:eastAsia="zh-CN"/>
        </w:rPr>
        <w:t>管（项</w:t>
      </w:r>
      <w:r>
        <w:rPr>
          <w:rFonts w:hint="eastAsia" w:ascii="仿宋_GB2312" w:hAnsi="仿宋_GB2312" w:eastAsia="仿宋_GB2312" w:cs="仿宋_GB2312"/>
          <w:b/>
          <w:bCs/>
          <w:spacing w:val="-45"/>
          <w:sz w:val="32"/>
          <w:szCs w:val="32"/>
          <w:lang w:eastAsia="zh-CN"/>
        </w:rPr>
        <w:t>）</w:t>
      </w:r>
      <w:r>
        <w:rPr>
          <w:rFonts w:ascii="仿宋_GB2312" w:hAnsi="仿宋_GB2312" w:eastAsia="仿宋_GB2312" w:cs="仿宋_GB2312"/>
          <w:b/>
          <w:bCs/>
          <w:spacing w:val="-4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 w:right="91"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22.9</w:t>
      </w:r>
      <w:r>
        <w:rPr>
          <w:rFonts w:ascii="仿宋_GB2312" w:hAnsi="仿宋_GB2312" w:eastAsia="仿宋_GB2312" w:cs="仿宋_GB2312"/>
          <w:color w:val="333333"/>
          <w:spacing w:val="9"/>
          <w:sz w:val="32"/>
          <w:szCs w:val="32"/>
          <w:lang w:eastAsia="zh-CN"/>
        </w:rPr>
        <w:t>万元，支出决算为22.9万元，完成年初预算的100%。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63"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5"/>
          <w:sz w:val="32"/>
          <w:szCs w:val="32"/>
          <w:lang w:eastAsia="zh-CN"/>
        </w:rPr>
        <w:t>7.农林水支出（类）林业和草原（款）事业机构（项）。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 w:right="91"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195.24</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195.24</w:t>
      </w:r>
      <w:r>
        <w:rPr>
          <w:rFonts w:ascii="仿宋_GB2312" w:hAnsi="仿宋_GB2312" w:eastAsia="仿宋_GB2312" w:cs="仿宋_GB2312"/>
          <w:color w:val="333333"/>
          <w:spacing w:val="9"/>
          <w:sz w:val="32"/>
          <w:szCs w:val="32"/>
          <w:lang w:eastAsia="zh-CN"/>
        </w:rPr>
        <w:t>万元，完成年初预算的</w:t>
      </w:r>
      <w:r>
        <w:rPr>
          <w:rFonts w:hint="eastAsia" w:ascii="仿宋_GB2312" w:hAnsi="仿宋_GB2312" w:eastAsia="仿宋_GB2312" w:cs="仿宋_GB2312"/>
          <w:color w:val="333333"/>
          <w:spacing w:val="9"/>
          <w:sz w:val="32"/>
          <w:szCs w:val="32"/>
          <w:lang w:eastAsia="zh-CN"/>
        </w:rPr>
        <w:t>100</w:t>
      </w:r>
      <w:r>
        <w:rPr>
          <w:rFonts w:ascii="仿宋_GB2312" w:hAnsi="仿宋_GB2312" w:eastAsia="仿宋_GB2312" w:cs="仿宋_GB2312"/>
          <w:color w:val="333333"/>
          <w:spacing w:val="9"/>
          <w:sz w:val="32"/>
          <w:szCs w:val="32"/>
          <w:lang w:eastAsia="zh-CN"/>
        </w:rPr>
        <w:t>%</w:t>
      </w:r>
      <w:r>
        <w:rPr>
          <w:rFonts w:hint="eastAsia"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531" w:firstLineChars="200"/>
        <w:jc w:val="both"/>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28"/>
          <w:sz w:val="32"/>
          <w:szCs w:val="32"/>
          <w:lang w:eastAsia="zh-CN"/>
        </w:rPr>
        <w:t>8.农林水支出（类）林业和草原（款）森林生态效益补偿（项）。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 w:right="91" w:firstLine="676" w:firstLineChars="200"/>
        <w:jc w:val="both"/>
        <w:textAlignment w:val="baseline"/>
        <w:rPr>
          <w:rFonts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107.51</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107.51</w:t>
      </w:r>
      <w:r>
        <w:rPr>
          <w:rFonts w:ascii="仿宋_GB2312" w:hAnsi="仿宋_GB2312" w:eastAsia="仿宋_GB2312" w:cs="仿宋_GB2312"/>
          <w:color w:val="333333"/>
          <w:spacing w:val="9"/>
          <w:sz w:val="32"/>
          <w:szCs w:val="32"/>
          <w:lang w:eastAsia="zh-CN"/>
        </w:rPr>
        <w:t>万元，完成年初预算的</w:t>
      </w:r>
      <w:r>
        <w:rPr>
          <w:rFonts w:hint="eastAsia" w:ascii="仿宋_GB2312" w:hAnsi="仿宋_GB2312" w:eastAsia="仿宋_GB2312" w:cs="仿宋_GB2312"/>
          <w:color w:val="333333"/>
          <w:spacing w:val="9"/>
          <w:sz w:val="32"/>
          <w:szCs w:val="32"/>
          <w:lang w:eastAsia="zh-CN"/>
        </w:rPr>
        <w:t>100</w:t>
      </w:r>
      <w:r>
        <w:rPr>
          <w:rFonts w:ascii="仿宋_GB2312" w:hAnsi="仿宋_GB2312" w:eastAsia="仿宋_GB2312" w:cs="仿宋_GB2312"/>
          <w:color w:val="333333"/>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right="89" w:firstLine="551"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23"/>
          <w:sz w:val="32"/>
          <w:szCs w:val="32"/>
          <w:lang w:eastAsia="zh-CN"/>
        </w:rPr>
        <w:t>9.住房保障支出（类）住房改革支出（款）住房公积金（项）。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 w:right="91"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年初预算为</w:t>
      </w:r>
      <w:r>
        <w:rPr>
          <w:rFonts w:hint="eastAsia" w:ascii="仿宋_GB2312" w:hAnsi="仿宋_GB2312" w:eastAsia="仿宋_GB2312" w:cs="仿宋_GB2312"/>
          <w:color w:val="333333"/>
          <w:spacing w:val="9"/>
          <w:sz w:val="32"/>
          <w:szCs w:val="32"/>
          <w:lang w:eastAsia="zh-CN"/>
        </w:rPr>
        <w:t>17.13</w:t>
      </w:r>
      <w:r>
        <w:rPr>
          <w:rFonts w:ascii="仿宋_GB2312" w:hAnsi="仿宋_GB2312" w:eastAsia="仿宋_GB2312" w:cs="仿宋_GB2312"/>
          <w:color w:val="333333"/>
          <w:spacing w:val="9"/>
          <w:sz w:val="32"/>
          <w:szCs w:val="32"/>
          <w:lang w:eastAsia="zh-CN"/>
        </w:rPr>
        <w:t>万元，支出决算为</w:t>
      </w:r>
      <w:r>
        <w:rPr>
          <w:rFonts w:hint="eastAsia" w:ascii="仿宋_GB2312" w:hAnsi="仿宋_GB2312" w:eastAsia="仿宋_GB2312" w:cs="仿宋_GB2312"/>
          <w:color w:val="333333"/>
          <w:spacing w:val="9"/>
          <w:sz w:val="32"/>
          <w:szCs w:val="32"/>
          <w:lang w:eastAsia="zh-CN"/>
        </w:rPr>
        <w:t>17.13</w:t>
      </w:r>
      <w:r>
        <w:rPr>
          <w:rFonts w:ascii="仿宋_GB2312" w:hAnsi="仿宋_GB2312" w:eastAsia="仿宋_GB2312" w:cs="仿宋_GB2312"/>
          <w:color w:val="333333"/>
          <w:spacing w:val="9"/>
          <w:sz w:val="32"/>
          <w:szCs w:val="32"/>
          <w:lang w:eastAsia="zh-CN"/>
        </w:rPr>
        <w:t>万元，完成年初预算的100%。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黑体" w:hAnsi="黑体" w:eastAsia="黑体" w:cs="黑体"/>
          <w:sz w:val="32"/>
          <w:szCs w:val="32"/>
          <w:lang w:eastAsia="zh-CN"/>
        </w:rPr>
      </w:pPr>
      <w:r>
        <w:rPr>
          <w:rFonts w:ascii="黑体" w:hAnsi="黑体" w:eastAsia="黑体" w:cs="黑体"/>
          <w:spacing w:val="9"/>
          <w:sz w:val="32"/>
          <w:szCs w:val="32"/>
          <w:lang w:eastAsia="zh-CN"/>
        </w:rPr>
        <w:t>六、一般公共预算财政拨款基本支出决算情</w:t>
      </w:r>
      <w:r>
        <w:rPr>
          <w:rFonts w:ascii="黑体" w:hAnsi="黑体" w:eastAsia="黑体" w:cs="黑体"/>
          <w:spacing w:val="8"/>
          <w:sz w:val="32"/>
          <w:szCs w:val="32"/>
          <w:lang w:eastAsia="zh-CN"/>
        </w:rPr>
        <w:t>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5" w:right="91" w:firstLine="676" w:firstLineChars="200"/>
        <w:jc w:val="both"/>
        <w:textAlignment w:val="baseline"/>
        <w:rPr>
          <w:rFonts w:hint="eastAsia" w:ascii="仿宋_GB2312" w:hAnsi="仿宋_GB2312" w:eastAsia="仿宋_GB2312" w:cs="仿宋_GB2312"/>
          <w:color w:val="333333"/>
          <w:spacing w:val="9"/>
          <w:sz w:val="32"/>
          <w:szCs w:val="32"/>
          <w:lang w:eastAsia="zh-CN"/>
        </w:rPr>
      </w:pPr>
      <w:r>
        <w:rPr>
          <w:rFonts w:ascii="仿宋_GB2312" w:hAnsi="仿宋_GB2312" w:eastAsia="仿宋_GB2312" w:cs="仿宋_GB2312"/>
          <w:color w:val="333333"/>
          <w:spacing w:val="9"/>
          <w:sz w:val="32"/>
          <w:szCs w:val="32"/>
          <w:lang w:eastAsia="zh-CN"/>
        </w:rPr>
        <w:t>2024年度财政拨款基本支出</w:t>
      </w:r>
      <w:r>
        <w:rPr>
          <w:rFonts w:hint="eastAsia" w:ascii="仿宋_GB2312" w:hAnsi="仿宋_GB2312" w:eastAsia="仿宋_GB2312" w:cs="仿宋_GB2312"/>
          <w:color w:val="333333"/>
          <w:spacing w:val="9"/>
          <w:sz w:val="32"/>
          <w:szCs w:val="32"/>
          <w:lang w:eastAsia="zh-CN"/>
        </w:rPr>
        <w:t>293.83</w:t>
      </w:r>
      <w:r>
        <w:rPr>
          <w:rFonts w:ascii="仿宋_GB2312" w:hAnsi="仿宋_GB2312" w:eastAsia="仿宋_GB2312" w:cs="仿宋_GB2312"/>
          <w:color w:val="333333"/>
          <w:spacing w:val="9"/>
          <w:sz w:val="32"/>
          <w:szCs w:val="32"/>
          <w:lang w:eastAsia="zh-CN"/>
        </w:rPr>
        <w:t>万元，其中：人员经费</w:t>
      </w:r>
      <w:r>
        <w:rPr>
          <w:rFonts w:hint="eastAsia" w:ascii="仿宋_GB2312" w:hAnsi="仿宋_GB2312" w:eastAsia="仿宋_GB2312" w:cs="仿宋_GB2312"/>
          <w:color w:val="333333"/>
          <w:spacing w:val="9"/>
          <w:sz w:val="32"/>
          <w:szCs w:val="32"/>
          <w:lang w:eastAsia="zh-CN"/>
        </w:rPr>
        <w:t>251.26</w:t>
      </w:r>
      <w:r>
        <w:rPr>
          <w:rFonts w:ascii="仿宋_GB2312" w:hAnsi="仿宋_GB2312" w:eastAsia="仿宋_GB2312" w:cs="仿宋_GB2312"/>
          <w:color w:val="333333"/>
          <w:spacing w:val="9"/>
          <w:sz w:val="32"/>
          <w:szCs w:val="32"/>
          <w:lang w:eastAsia="zh-CN"/>
        </w:rPr>
        <w:t>万元，主要包括：工资福利支出中的基本工资、津贴补贴、奖金、伙食补助费、绩效工资、机关事业单位基本养老保险</w:t>
      </w:r>
      <w:bookmarkStart w:id="21" w:name="bookmark28"/>
      <w:bookmarkEnd w:id="21"/>
      <w:r>
        <w:rPr>
          <w:rFonts w:ascii="仿宋_GB2312" w:hAnsi="仿宋_GB2312" w:eastAsia="仿宋_GB2312" w:cs="仿宋_GB2312"/>
          <w:color w:val="333333"/>
          <w:spacing w:val="9"/>
          <w:sz w:val="32"/>
          <w:szCs w:val="32"/>
          <w:lang w:eastAsia="zh-CN"/>
        </w:rPr>
        <w:t>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仿宋_GB2312" w:eastAsia="仿宋_GB2312" w:cs="仿宋_GB2312"/>
          <w:color w:val="333333"/>
          <w:spacing w:val="9"/>
          <w:sz w:val="32"/>
          <w:szCs w:val="32"/>
          <w:lang w:eastAsia="zh-CN"/>
        </w:rPr>
        <w:t>42.57</w:t>
      </w:r>
      <w:r>
        <w:rPr>
          <w:rFonts w:ascii="仿宋_GB2312" w:hAnsi="仿宋_GB2312" w:eastAsia="仿宋_GB2312" w:cs="仿宋_GB2312"/>
          <w:color w:val="333333"/>
          <w:spacing w:val="9"/>
          <w:sz w:val="32"/>
          <w:szCs w:val="32"/>
          <w:lang w:eastAsia="zh-CN"/>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黑体" w:hAnsi="黑体" w:eastAsia="黑体" w:cs="黑体"/>
          <w:sz w:val="32"/>
          <w:szCs w:val="32"/>
          <w:lang w:eastAsia="zh-CN"/>
        </w:rPr>
      </w:pPr>
      <w:r>
        <w:rPr>
          <w:rFonts w:ascii="黑体" w:hAnsi="黑体" w:eastAsia="黑体" w:cs="黑体"/>
          <w:spacing w:val="9"/>
          <w:sz w:val="32"/>
          <w:szCs w:val="32"/>
          <w:lang w:eastAsia="zh-CN"/>
        </w:rPr>
        <w:t>七、政府性基金预算财政拨款支出决算情况说明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8" w:firstLineChars="200"/>
        <w:textAlignment w:val="baseline"/>
        <w:rPr>
          <w:rFonts w:hint="eastAsia" w:ascii="楷体" w:hAnsi="楷体" w:eastAsia="楷体" w:cs="楷体"/>
          <w:sz w:val="32"/>
          <w:szCs w:val="32"/>
          <w:lang w:eastAsia="zh-CN"/>
        </w:rPr>
      </w:pPr>
      <w:r>
        <w:rPr>
          <w:rFonts w:hint="eastAsia" w:ascii="楷体" w:hAnsi="楷体" w:eastAsia="楷体" w:cs="楷体"/>
          <w:spacing w:val="7"/>
          <w:sz w:val="32"/>
          <w:szCs w:val="32"/>
          <w:lang w:eastAsia="zh-CN"/>
        </w:rPr>
        <w:t>（一）政府性基金预算财政拨款支出决算总体情况。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64"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2024年度政府性基金预算财政拨款支出0万元，占本年支</w:t>
      </w:r>
      <w:r>
        <w:rPr>
          <w:rFonts w:hint="eastAsia" w:ascii="仿宋_GB2312" w:hAnsi="仿宋_GB2312" w:eastAsia="仿宋_GB2312" w:cs="仿宋_GB2312"/>
          <w:spacing w:val="3"/>
          <w:sz w:val="32"/>
          <w:szCs w:val="32"/>
          <w:lang w:eastAsia="zh-CN"/>
        </w:rPr>
        <w:t>出合计的0%。与2023年度相比，政府性基金预算财政拨款支出</w:t>
      </w:r>
      <w:bookmarkStart w:id="22" w:name="bookmark29"/>
      <w:bookmarkEnd w:id="22"/>
      <w:r>
        <w:rPr>
          <w:rFonts w:hint="eastAsia" w:ascii="仿宋_GB2312" w:hAnsi="仿宋_GB2312" w:eastAsia="仿宋_GB2312" w:cs="仿宋_GB2312"/>
          <w:spacing w:val="6"/>
          <w:sz w:val="32"/>
          <w:szCs w:val="32"/>
          <w:lang w:eastAsia="zh-CN"/>
        </w:rPr>
        <w:t>增加（减少）0万元，增长（下降）0%。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8" w:firstLineChars="200"/>
        <w:textAlignment w:val="baseline"/>
        <w:rPr>
          <w:rFonts w:hint="eastAsia" w:ascii="楷体" w:hAnsi="楷体" w:eastAsia="楷体" w:cs="楷体"/>
          <w:spacing w:val="7"/>
          <w:sz w:val="32"/>
          <w:szCs w:val="32"/>
          <w:lang w:eastAsia="zh-CN"/>
        </w:rPr>
      </w:pPr>
      <w:r>
        <w:rPr>
          <w:rFonts w:hint="eastAsia" w:ascii="楷体" w:hAnsi="楷体" w:eastAsia="楷体" w:cs="楷体"/>
          <w:spacing w:val="7"/>
          <w:sz w:val="32"/>
          <w:szCs w:val="32"/>
          <w:lang w:eastAsia="zh-CN"/>
        </w:rPr>
        <w:t>（二）政府性基金预算财政拨款支出决算结构情况。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2024年度政府性基金预算财政拨款支出0万元。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68" w:firstLineChars="200"/>
        <w:textAlignment w:val="baseline"/>
        <w:rPr>
          <w:rFonts w:hint="eastAsia" w:ascii="楷体" w:hAnsi="楷体" w:eastAsia="楷体" w:cs="楷体"/>
          <w:spacing w:val="7"/>
          <w:sz w:val="32"/>
          <w:szCs w:val="32"/>
          <w:lang w:eastAsia="zh-CN"/>
        </w:rPr>
      </w:pPr>
      <w:r>
        <w:rPr>
          <w:rFonts w:hint="eastAsia" w:ascii="楷体" w:hAnsi="楷体" w:eastAsia="楷体" w:cs="楷体"/>
          <w:spacing w:val="7"/>
          <w:sz w:val="32"/>
          <w:szCs w:val="32"/>
          <w:lang w:eastAsia="zh-CN"/>
        </w:rPr>
        <w:t>（三）政府性基金预算财政拨款支出决算具体情况。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2024年度政府性基金预算财政拨款支出年初预算为0万元，支出决算为0万元。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rPr>
          <w:rFonts w:hint="eastAsia" w:ascii="黑体" w:hAnsi="黑体" w:eastAsia="黑体" w:cs="黑体"/>
          <w:sz w:val="32"/>
          <w:szCs w:val="32"/>
          <w:lang w:eastAsia="zh-CN"/>
        </w:rPr>
      </w:pPr>
      <w:r>
        <w:rPr>
          <w:rFonts w:ascii="黑体" w:hAnsi="黑体" w:eastAsia="黑体" w:cs="黑体"/>
          <w:spacing w:val="9"/>
          <w:sz w:val="32"/>
          <w:szCs w:val="32"/>
          <w:lang w:eastAsia="zh-CN"/>
        </w:rPr>
        <w:t>八、国有资本经营预算财政拨款支出决算情况说明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right="100"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（一）国有资本经营预算财政拨款支出决算总体情况。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2024年度国有资本经营预算财政拨款支出0万元，占本年支出合计的0%。与2023年度相比，国有资本经营预算财政拨款支出增加（减少）0万元，增长（下降）0%。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（二）国有资本经营预算财政拨款支出决算结构情况。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2024年度国有资本经营预算财政拨款支出0万元。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（三）国有资本经营预算财政拨款支出决算具体情况。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2024年度国有资本经营预算财政拨款支出年初预算为0万元，支出决算为0万元。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6" w:firstLineChars="200"/>
        <w:textAlignment w:val="baseline"/>
        <w:outlineLvl w:val="0"/>
        <w:rPr>
          <w:rFonts w:hint="eastAsia" w:ascii="黑体" w:hAnsi="黑体" w:eastAsia="黑体" w:cs="黑体"/>
          <w:sz w:val="32"/>
          <w:szCs w:val="32"/>
          <w:lang w:eastAsia="zh-CN"/>
        </w:rPr>
      </w:pPr>
      <w:bookmarkStart w:id="23" w:name="bookmark30"/>
      <w:bookmarkEnd w:id="23"/>
      <w:r>
        <w:rPr>
          <w:rFonts w:ascii="黑体" w:hAnsi="黑体" w:eastAsia="黑体" w:cs="黑体"/>
          <w:spacing w:val="9"/>
          <w:sz w:val="32"/>
          <w:szCs w:val="32"/>
          <w:lang w:eastAsia="zh-CN"/>
        </w:rPr>
        <w:t>九、财政拨款“三公”经费支出决算情况说明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（一）财政拨款“三公”经费支出决算总体情况说明。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2024年度财政拨款“三公”经费支出预算为2.55万元，支出决算为0万元，完成预算的0%，与2023年度相比，“三公”经费支出增加（减少）0万元，增长（下降）0%，主要原因是我站公车已报废。</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（二）财政拨款“三公”经费支出决算具体情况说明。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6" w:right="100"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2024年度财政拨款“三公”经费支出决算中，因公出国（境）费支出决算0万元，占0%；公务用车购置及运行维护费支出决算0万元，占0%；公务接待费支出决算0万元，占0%。具体情况如下：</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0" w:right="31" w:firstLine="663" w:firstLineChars="200"/>
        <w:textAlignment w:val="baseline"/>
        <w:rPr>
          <w:rFonts w:hint="eastAsia" w:ascii="仿宋_GB2312" w:hAnsi="仿宋_GB2312" w:eastAsia="仿宋_GB2312" w:cs="仿宋_GB2312"/>
          <w:spacing w:val="3"/>
          <w:sz w:val="32"/>
          <w:szCs w:val="32"/>
          <w:lang w:eastAsia="zh-CN"/>
        </w:rPr>
      </w:pPr>
      <w:r>
        <w:rPr>
          <w:rFonts w:ascii="仿宋_GB2312" w:hAnsi="仿宋_GB2312" w:eastAsia="仿宋_GB2312" w:cs="仿宋_GB2312"/>
          <w:b/>
          <w:bCs/>
          <w:spacing w:val="5"/>
          <w:sz w:val="32"/>
          <w:szCs w:val="32"/>
          <w:lang w:eastAsia="zh-CN"/>
        </w:rPr>
        <w:t>1.因公出国（境）费</w:t>
      </w:r>
      <w:r>
        <w:rPr>
          <w:rFonts w:hint="eastAsia" w:ascii="仿宋_GB2312" w:hAnsi="仿宋_GB2312" w:eastAsia="仿宋_GB2312" w:cs="仿宋_GB2312"/>
          <w:spacing w:val="3"/>
          <w:sz w:val="32"/>
          <w:szCs w:val="32"/>
          <w:lang w:eastAsia="zh-CN"/>
        </w:rPr>
        <w:t>支出0万元。全年安排因公出国（境）团组0个，因公出国（境）0人次。</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5" w:firstLineChars="200"/>
        <w:textAlignment w:val="baseline"/>
        <w:rPr>
          <w:rFonts w:hint="eastAsia" w:ascii="仿宋_GB2312" w:hAnsi="仿宋_GB2312" w:eastAsia="仿宋_GB2312" w:cs="仿宋_GB2312"/>
          <w:spacing w:val="3"/>
          <w:sz w:val="32"/>
          <w:szCs w:val="32"/>
          <w:lang w:eastAsia="zh-CN"/>
        </w:rPr>
      </w:pPr>
      <w:r>
        <w:rPr>
          <w:rFonts w:ascii="仿宋_GB2312" w:hAnsi="仿宋_GB2312" w:eastAsia="仿宋_GB2312" w:cs="仿宋_GB2312"/>
          <w:b/>
          <w:bCs/>
          <w:spacing w:val="3"/>
          <w:sz w:val="32"/>
          <w:szCs w:val="32"/>
          <w:lang w:eastAsia="zh-CN"/>
        </w:rPr>
        <w:t>2.公务用车购置及运行维护费支出</w:t>
      </w:r>
      <w:r>
        <w:rPr>
          <w:rFonts w:hint="eastAsia" w:ascii="仿宋_GB2312" w:hAnsi="仿宋_GB2312" w:eastAsia="仿宋_GB2312" w:cs="仿宋_GB2312"/>
          <w:spacing w:val="3"/>
          <w:sz w:val="32"/>
          <w:szCs w:val="32"/>
          <w:lang w:eastAsia="zh-CN"/>
        </w:rPr>
        <w:t>0万元。其中：</w:t>
      </w:r>
      <w:r>
        <w:rPr>
          <w:rFonts w:ascii="仿宋_GB2312" w:hAnsi="仿宋_GB2312" w:eastAsia="仿宋_GB2312" w:cs="仿宋_GB2312"/>
          <w:b/>
          <w:bCs/>
          <w:spacing w:val="-1"/>
          <w:sz w:val="32"/>
          <w:szCs w:val="32"/>
          <w:lang w:eastAsia="zh-CN"/>
        </w:rPr>
        <w:t>公务用车购置支出</w:t>
      </w:r>
      <w:r>
        <w:rPr>
          <w:rFonts w:hint="eastAsia" w:ascii="仿宋_GB2312" w:hAnsi="仿宋_GB2312" w:eastAsia="仿宋_GB2312" w:cs="仿宋_GB2312"/>
          <w:spacing w:val="3"/>
          <w:sz w:val="32"/>
          <w:szCs w:val="32"/>
          <w:lang w:eastAsia="zh-CN"/>
        </w:rPr>
        <w:t>0万元，全年购置公务用车0辆，年末公务用车保有量0辆。</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1" w:firstLineChars="200"/>
        <w:textAlignment w:val="baseline"/>
        <w:rPr>
          <w:rFonts w:hint="eastAsia" w:ascii="仿宋_GB2312" w:hAnsi="仿宋_GB2312" w:eastAsia="仿宋_GB2312" w:cs="仿宋_GB2312"/>
          <w:sz w:val="32"/>
          <w:szCs w:val="32"/>
          <w:lang w:eastAsia="zh-CN"/>
        </w:rPr>
      </w:pPr>
      <w:r>
        <w:rPr>
          <w:rFonts w:ascii="仿宋_GB2312" w:hAnsi="仿宋_GB2312" w:eastAsia="仿宋_GB2312" w:cs="仿宋_GB2312"/>
          <w:b/>
          <w:bCs/>
          <w:spacing w:val="2"/>
          <w:sz w:val="32"/>
          <w:szCs w:val="32"/>
          <w:lang w:eastAsia="zh-CN"/>
        </w:rPr>
        <w:t>公务用车运行维护费</w:t>
      </w:r>
      <w:r>
        <w:rPr>
          <w:rFonts w:hint="eastAsia" w:ascii="仿宋_GB2312" w:hAnsi="仿宋_GB2312" w:eastAsia="仿宋_GB2312" w:cs="仿宋_GB2312"/>
          <w:spacing w:val="3"/>
          <w:sz w:val="32"/>
          <w:szCs w:val="32"/>
          <w:lang w:eastAsia="zh-CN"/>
        </w:rPr>
        <w:t>支出0万元。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公务用车购置及运行维护费支出决算数比预算数增加（减少）0万元，增长（下降）0%。与2023年度相比，公务用车购置及运行维护费支出增加（减少）0万元，增长（下降）0%，主要原因是我站公车已报废。</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43" w:firstLineChars="200"/>
        <w:textAlignment w:val="baseline"/>
        <w:rPr>
          <w:rFonts w:hint="eastAsia" w:ascii="仿宋_GB2312" w:hAnsi="仿宋_GB2312" w:eastAsia="仿宋_GB2312" w:cs="仿宋_GB2312"/>
          <w:spacing w:val="3"/>
          <w:sz w:val="32"/>
          <w:szCs w:val="32"/>
          <w:lang w:eastAsia="zh-CN"/>
        </w:rPr>
      </w:pPr>
      <w:r>
        <w:rPr>
          <w:rFonts w:ascii="仿宋_GB2312" w:hAnsi="仿宋_GB2312" w:eastAsia="仿宋_GB2312" w:cs="仿宋_GB2312"/>
          <w:b/>
          <w:bCs/>
          <w:sz w:val="32"/>
          <w:szCs w:val="32"/>
          <w:lang w:eastAsia="zh-CN"/>
        </w:rPr>
        <w:t>3.公务接待费支出</w:t>
      </w:r>
      <w:r>
        <w:rPr>
          <w:rFonts w:hint="eastAsia" w:ascii="仿宋_GB2312" w:hAnsi="仿宋_GB2312" w:eastAsia="仿宋_GB2312" w:cs="仿宋_GB2312"/>
          <w:spacing w:val="3"/>
          <w:sz w:val="32"/>
          <w:szCs w:val="32"/>
          <w:lang w:eastAsia="zh-CN"/>
        </w:rPr>
        <w:t>0万元，其中：</w:t>
      </w:r>
      <w:r>
        <w:rPr>
          <w:rFonts w:ascii="仿宋_GB2312" w:hAnsi="仿宋_GB2312" w:eastAsia="仿宋_GB2312" w:cs="仿宋_GB2312"/>
          <w:b/>
          <w:bCs/>
          <w:spacing w:val="-10"/>
          <w:sz w:val="32"/>
          <w:szCs w:val="32"/>
          <w:lang w:eastAsia="zh-CN"/>
        </w:rPr>
        <w:t>国内接待费</w:t>
      </w:r>
      <w:r>
        <w:rPr>
          <w:rFonts w:hint="eastAsia" w:ascii="仿宋_GB2312" w:hAnsi="仿宋_GB2312" w:eastAsia="仿宋_GB2312" w:cs="仿宋_GB2312"/>
          <w:spacing w:val="3"/>
          <w:sz w:val="32"/>
          <w:szCs w:val="32"/>
          <w:lang w:eastAsia="zh-CN"/>
        </w:rPr>
        <w:t>支出0万元，国内公务接待0批次，接待0人次。</w:t>
      </w:r>
      <w:r>
        <w:rPr>
          <w:rFonts w:ascii="仿宋_GB2312" w:hAnsi="仿宋_GB2312" w:eastAsia="仿宋_GB2312" w:cs="仿宋_GB2312"/>
          <w:b/>
          <w:bCs/>
          <w:spacing w:val="-11"/>
          <w:sz w:val="32"/>
          <w:szCs w:val="32"/>
          <w:lang w:eastAsia="zh-CN"/>
        </w:rPr>
        <w:t>国（境）外接待费</w:t>
      </w:r>
      <w:r>
        <w:rPr>
          <w:rFonts w:hint="eastAsia" w:ascii="仿宋_GB2312" w:hAnsi="仿宋_GB2312" w:eastAsia="仿宋_GB2312" w:cs="仿宋_GB2312"/>
          <w:spacing w:val="3"/>
          <w:sz w:val="32"/>
          <w:szCs w:val="32"/>
          <w:lang w:eastAsia="zh-CN"/>
        </w:rPr>
        <w:t>支出0万元，国（境）外公务接待0批次，接待0人次。公务接待费支出决算数比预算数增加（减少）0万元，增长（下降）0%。与2023年度相比，公务接待费支出增加（减少）0万元，增长（下降）0%。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outlineLvl w:val="0"/>
        <w:rPr>
          <w:rFonts w:hint="eastAsia" w:ascii="黑体" w:hAnsi="黑体" w:eastAsia="黑体" w:cs="黑体"/>
          <w:sz w:val="32"/>
          <w:szCs w:val="32"/>
          <w:lang w:eastAsia="zh-CN"/>
        </w:rPr>
      </w:pPr>
      <w:bookmarkStart w:id="24" w:name="bookmark31"/>
      <w:bookmarkEnd w:id="24"/>
      <w:r>
        <w:rPr>
          <w:rFonts w:ascii="黑体" w:hAnsi="黑体" w:eastAsia="黑体" w:cs="黑体"/>
          <w:spacing w:val="8"/>
          <w:sz w:val="32"/>
          <w:szCs w:val="32"/>
          <w:lang w:eastAsia="zh-CN"/>
        </w:rPr>
        <w:t>十、预算绩效情况说明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（一）绩效管理工作开展情况。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根据财政预算绩效管理要求，我单位组织对2024年度一般公共预算项目支出全面开展绩效自评。其中，二级项目7个，共涉及资金175.22万元，占一般公共预算项目支出总额的100%。无政府性基金预算，无国有资本经营预算项目。</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（二）部门决算中项目绩效自评结果。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我单位在部门决算中反映森林资源管护、林业改革发展资金等5个项目绩效自评结果（包括项目绩效自评表）。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森林资源管护绩效自评表：分值100分，得分99.95分。</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森林资源管护项目绩效自评报告：根据年初设定的绩效目标，项目绩效自评得分为99.95分。全年预算数为108.21万元，执行数为107.66万元，完成预算的99.49%。</w:t>
      </w:r>
      <w:r>
        <w:rPr>
          <w:rFonts w:hint="eastAsia" w:ascii="仿宋_GB2312" w:hAnsi="仿宋_GB2312" w:eastAsia="仿宋_GB2312" w:cs="仿宋_GB2312"/>
          <w:spacing w:val="3"/>
          <w:sz w:val="32"/>
          <w:szCs w:val="32"/>
          <w:lang w:eastAsia="zh-CN"/>
        </w:rPr>
        <w:t>项目绩效目标完成情况：一是护林员系统上线率；二是聘用管护人员；三是管护好公益林面积；四是森林生态系统生态效益发挥明显；五是持续和发挥生态作用。以上五项绩效目标圆满完成。</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楷体" w:hAnsi="楷体" w:eastAsia="楷体" w:cs="楷体"/>
          <w:spacing w:val="3"/>
          <w:sz w:val="32"/>
          <w:szCs w:val="32"/>
          <w:lang w:eastAsia="zh-CN"/>
        </w:rPr>
      </w:pPr>
      <w:bookmarkStart w:id="25" w:name="bookmark32"/>
      <w:bookmarkEnd w:id="25"/>
      <w:r>
        <w:rPr>
          <w:rFonts w:hint="eastAsia" w:ascii="楷体" w:hAnsi="楷体" w:eastAsia="楷体" w:cs="楷体"/>
          <w:spacing w:val="3"/>
          <w:sz w:val="32"/>
          <w:szCs w:val="32"/>
          <w:lang w:eastAsia="zh-CN"/>
        </w:rPr>
        <w:t>（三）部门评价结果。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无此项内容。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（四）财政评价结果。</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无此项内容。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72" w:firstLineChars="200"/>
        <w:textAlignment w:val="baseline"/>
        <w:outlineLvl w:val="0"/>
        <w:rPr>
          <w:rFonts w:hint="eastAsia" w:ascii="黑体" w:hAnsi="黑体" w:eastAsia="黑体" w:cs="黑体"/>
          <w:sz w:val="32"/>
          <w:szCs w:val="32"/>
          <w:lang w:eastAsia="zh-CN"/>
        </w:rPr>
      </w:pPr>
      <w:bookmarkStart w:id="26" w:name="bookmark16"/>
      <w:bookmarkEnd w:id="26"/>
      <w:r>
        <w:rPr>
          <w:rFonts w:ascii="黑体" w:hAnsi="黑体" w:eastAsia="黑体" w:cs="黑体"/>
          <w:spacing w:val="8"/>
          <w:sz w:val="32"/>
          <w:szCs w:val="32"/>
          <w:lang w:eastAsia="zh-CN"/>
        </w:rPr>
        <w:t>十一、其他重要事项情况说明</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（一）机关运行经费支出情况。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2024年度海南番加省级自然保护区管理站（单位）机关运行经费0万元。</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（二）政府采购支出情况。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2024年度海南番加省级自然保护区管理站（单位）政府采购支出总额0万元，其中：政府采购货物支出0万元、政府采购工程支出0万元、政府采购服务支出0万元。授予中小企业合同金额0万元，占政府采购支出总额的0%，其中：授予小微企业合同金额0万元，占授予中小企业合同金额的0%。</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（三）国有资产占用情况。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截至2024年12月31日，本单位拥有房屋面积12665.7平方米，其中：办公用房12665.7平方米，业务用房0平方米，其他（不含构筑物）0平方米。</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本单位共有车辆0辆，其中，副部（省）级及以上领导用车0辆、主要负责人用车0辆、机要通信用车0辆、应急保障用车0辆、执法执勤用车0辆、特种专业技术用车0辆、离退休干部服务用车0辆、其他用车0辆。</w:t>
      </w:r>
      <w:bookmarkStart w:id="27" w:name="bookmark17"/>
      <w:bookmarkEnd w:id="27"/>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8" w:firstLine="640" w:firstLineChars="200"/>
        <w:jc w:val="both"/>
        <w:textAlignment w:val="baseline"/>
        <w:rPr>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8" w:firstLine="640" w:firstLineChars="200"/>
        <w:jc w:val="both"/>
        <w:textAlignment w:val="baseline"/>
        <w:rPr>
          <w:rFonts w:hint="eastAsia"/>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jc w:val="center"/>
        <w:textAlignment w:val="baseline"/>
        <w:outlineLvl w:val="0"/>
        <w:rPr>
          <w:rFonts w:hint="eastAsia" w:ascii="黑体" w:hAnsi="黑体" w:eastAsia="黑体" w:cs="黑体"/>
          <w:sz w:val="32"/>
          <w:szCs w:val="32"/>
          <w:lang w:eastAsia="zh-CN"/>
        </w:rPr>
      </w:pPr>
      <w:bookmarkStart w:id="28" w:name="bookmark33"/>
      <w:bookmarkEnd w:id="28"/>
      <w:r>
        <w:rPr>
          <w:rFonts w:ascii="黑体" w:hAnsi="黑体" w:eastAsia="黑体" w:cs="黑体"/>
          <w:spacing w:val="7"/>
          <w:sz w:val="32"/>
          <w:szCs w:val="32"/>
          <w:lang w:eastAsia="zh-CN"/>
        </w:rPr>
        <w:t>第四部分名词解释</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一、财政拨款收入：</w:t>
      </w:r>
      <w:r>
        <w:rPr>
          <w:rFonts w:hint="eastAsia" w:ascii="仿宋_GB2312" w:hAnsi="仿宋_GB2312" w:eastAsia="仿宋_GB2312" w:cs="仿宋_GB2312"/>
          <w:spacing w:val="3"/>
          <w:sz w:val="32"/>
          <w:szCs w:val="32"/>
          <w:lang w:eastAsia="zh-CN"/>
        </w:rPr>
        <w:t>指同级政府财政部门当年拨付的各类财政拨款。</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二、上级补助收入：</w:t>
      </w:r>
      <w:r>
        <w:rPr>
          <w:rFonts w:hint="eastAsia" w:ascii="仿宋_GB2312" w:hAnsi="仿宋_GB2312" w:eastAsia="仿宋_GB2312" w:cs="仿宋_GB2312"/>
          <w:spacing w:val="3"/>
          <w:sz w:val="32"/>
          <w:szCs w:val="32"/>
          <w:lang w:eastAsia="zh-CN"/>
        </w:rPr>
        <w:t>指事业单位从主管部门和上级单位取得的非财政补助收入。</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三、事业收入：</w:t>
      </w:r>
      <w:r>
        <w:rPr>
          <w:rFonts w:hint="eastAsia" w:ascii="仿宋_GB2312" w:hAnsi="仿宋_GB2312" w:eastAsia="仿宋_GB2312" w:cs="仿宋_GB2312"/>
          <w:spacing w:val="3"/>
          <w:sz w:val="32"/>
          <w:szCs w:val="32"/>
          <w:lang w:eastAsia="zh-CN"/>
        </w:rPr>
        <w:t>指事业单位开展专业业务活动及辅助活动取得的收入。</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四、经营收入：</w:t>
      </w:r>
      <w:r>
        <w:rPr>
          <w:rFonts w:hint="eastAsia" w:ascii="仿宋_GB2312" w:hAnsi="仿宋_GB2312" w:eastAsia="仿宋_GB2312" w:cs="仿宋_GB2312"/>
          <w:spacing w:val="3"/>
          <w:sz w:val="32"/>
          <w:szCs w:val="32"/>
          <w:lang w:eastAsia="zh-CN"/>
        </w:rPr>
        <w:t>指事业单位在专业业务活动及其辅助活动之外开展非独立核算经营活动取得的收入。</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五、附属单位上缴收入：</w:t>
      </w:r>
      <w:r>
        <w:rPr>
          <w:rFonts w:hint="eastAsia" w:ascii="仿宋_GB2312" w:hAnsi="仿宋_GB2312" w:eastAsia="仿宋_GB2312" w:cs="仿宋_GB2312"/>
          <w:spacing w:val="3"/>
          <w:sz w:val="32"/>
          <w:szCs w:val="32"/>
          <w:lang w:eastAsia="zh-CN"/>
        </w:rPr>
        <w:t>指事业单位取得附属独立核算单位根据有关规定上缴的收入。</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六、其他收入：</w:t>
      </w:r>
      <w:r>
        <w:rPr>
          <w:rFonts w:hint="eastAsia" w:ascii="仿宋_GB2312" w:hAnsi="仿宋_GB2312" w:eastAsia="仿宋_GB2312" w:cs="仿宋_GB2312"/>
          <w:spacing w:val="3"/>
          <w:sz w:val="32"/>
          <w:szCs w:val="32"/>
          <w:lang w:eastAsia="zh-CN"/>
        </w:rPr>
        <w:t>指除上述“财政拨款收入”“事业收入”“上级补助收入”“经营收入”“附属单位上缴收入”等以外的收入。</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七、使用非财政拨款结余：</w:t>
      </w:r>
      <w:r>
        <w:rPr>
          <w:rFonts w:hint="eastAsia" w:ascii="仿宋_GB2312" w:hAnsi="仿宋_GB2312" w:eastAsia="仿宋_GB2312" w:cs="仿宋_GB2312"/>
          <w:spacing w:val="3"/>
          <w:sz w:val="32"/>
          <w:szCs w:val="32"/>
          <w:lang w:eastAsia="zh-CN"/>
        </w:rPr>
        <w:t>指事业单位在当年的“财政拨款收入”“事业收入”“经营收入”“其他收入”等不足以安排当年支出的情况下，使用非同级财政拨款结余资金弥补本年度收支缺口。</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八、年初结转和结余：</w:t>
      </w:r>
      <w:r>
        <w:rPr>
          <w:rFonts w:hint="eastAsia" w:ascii="仿宋_GB2312" w:hAnsi="仿宋_GB2312" w:eastAsia="仿宋_GB2312" w:cs="仿宋_GB2312"/>
          <w:spacing w:val="3"/>
          <w:sz w:val="32"/>
          <w:szCs w:val="32"/>
          <w:lang w:eastAsia="zh-CN"/>
        </w:rPr>
        <w:t>指以前年度尚未完成、结转到本年按有关规定继续使用的资金，或项目已完成等产生的结余资金。</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九、结余分配：</w:t>
      </w:r>
      <w:r>
        <w:rPr>
          <w:rFonts w:hint="eastAsia" w:ascii="仿宋_GB2312" w:hAnsi="仿宋_GB2312" w:eastAsia="仿宋_GB2312" w:cs="仿宋_GB2312"/>
          <w:spacing w:val="3"/>
          <w:sz w:val="32"/>
          <w:szCs w:val="32"/>
          <w:lang w:eastAsia="zh-CN"/>
        </w:rPr>
        <w:t>指事业单位缴纳企业所得税以及从非财政拨款结余或经营结余中提取各类结余的情况。</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十、年末结转和结余：</w:t>
      </w:r>
      <w:r>
        <w:rPr>
          <w:rFonts w:hint="eastAsia" w:ascii="仿宋_GB2312" w:hAnsi="仿宋_GB2312" w:eastAsia="仿宋_GB2312" w:cs="仿宋_GB2312"/>
          <w:spacing w:val="3"/>
          <w:sz w:val="32"/>
          <w:szCs w:val="32"/>
          <w:lang w:eastAsia="zh-CN"/>
        </w:rPr>
        <w:t>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十一、基本支出：</w:t>
      </w:r>
      <w:r>
        <w:rPr>
          <w:rFonts w:hint="eastAsia" w:ascii="仿宋_GB2312" w:hAnsi="仿宋_GB2312" w:eastAsia="仿宋_GB2312" w:cs="仿宋_GB2312"/>
          <w:spacing w:val="3"/>
          <w:sz w:val="32"/>
          <w:szCs w:val="32"/>
          <w:lang w:eastAsia="zh-CN"/>
        </w:rPr>
        <w:t>指为保障机构正常运转、完成日常工作任务而发生的人员支出和公用支出。</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十二、项目支出：</w:t>
      </w:r>
      <w:r>
        <w:rPr>
          <w:rFonts w:hint="eastAsia" w:ascii="仿宋_GB2312" w:hAnsi="仿宋_GB2312" w:eastAsia="仿宋_GB2312" w:cs="仿宋_GB2312"/>
          <w:spacing w:val="3"/>
          <w:sz w:val="32"/>
          <w:szCs w:val="32"/>
          <w:lang w:eastAsia="zh-CN"/>
        </w:rPr>
        <w:t>指在基本支出之外为完成特定行政任务和事业发展目标所发生的支出。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十三、经营支出：</w:t>
      </w:r>
      <w:r>
        <w:rPr>
          <w:rFonts w:hint="eastAsia" w:ascii="仿宋_GB2312" w:hAnsi="仿宋_GB2312" w:eastAsia="仿宋_GB2312" w:cs="仿宋_GB2312"/>
          <w:spacing w:val="3"/>
          <w:sz w:val="32"/>
          <w:szCs w:val="32"/>
          <w:lang w:eastAsia="zh-CN"/>
        </w:rPr>
        <w:t>指事业单位在专业业务活动及其辅助活动之外开展非独立核算经营活动发生的支出。</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十四、“三公”经费：</w:t>
      </w:r>
      <w:r>
        <w:rPr>
          <w:rFonts w:hint="eastAsia" w:ascii="仿宋_GB2312" w:hAnsi="仿宋_GB2312" w:eastAsia="仿宋_GB2312" w:cs="仿宋_GB2312"/>
          <w:spacing w:val="3"/>
          <w:sz w:val="32"/>
          <w:szCs w:val="32"/>
          <w:lang w:eastAsia="zh-CN"/>
        </w:rPr>
        <w:t>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楷体" w:hAnsi="楷体" w:eastAsia="楷体" w:cs="楷体"/>
          <w:spacing w:val="3"/>
          <w:sz w:val="32"/>
          <w:szCs w:val="32"/>
          <w:lang w:eastAsia="zh-CN"/>
        </w:rPr>
        <w:t>十五、机关运行经费：</w:t>
      </w:r>
      <w:r>
        <w:rPr>
          <w:rFonts w:hint="eastAsia" w:ascii="仿宋_GB2312" w:hAnsi="仿宋_GB2312" w:eastAsia="仿宋_GB2312" w:cs="仿宋_GB2312"/>
          <w:spacing w:val="3"/>
          <w:sz w:val="32"/>
          <w:szCs w:val="32"/>
          <w:lang w:eastAsia="zh-CN"/>
        </w:rPr>
        <w:t>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楷体" w:hAnsi="楷体" w:eastAsia="楷体" w:cs="楷体"/>
          <w:spacing w:val="3"/>
          <w:sz w:val="32"/>
          <w:szCs w:val="32"/>
          <w:lang w:eastAsia="zh-CN"/>
        </w:rPr>
      </w:pPr>
      <w:r>
        <w:rPr>
          <w:rFonts w:hint="eastAsia" w:ascii="楷体" w:hAnsi="楷体" w:eastAsia="楷体" w:cs="楷体"/>
          <w:spacing w:val="3"/>
          <w:sz w:val="32"/>
          <w:szCs w:val="32"/>
          <w:lang w:eastAsia="zh-CN"/>
        </w:rPr>
        <w:t>十六、支出功能分类：</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1.社会保障和就业（类）行政事业单位养老支出（款）机关事业单位基本养老保险缴费支出（项）。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2.社会保障和就业（类）行政事业单位养老支出（款）机关事业单位职业年金缴费支出（项）。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3.卫生健康支出（类）行政事业单位医疗（款）事业单位医疗（项）。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4.卫生健康支出（类）行政事业单位医疗（款）公务员医疗补助（项）。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5.节能环保支出（类）自然生态保护（款）自然保护地（项）。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6.节能环保支出（类）森林保护修复（款）森林管护（项）。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7.农林水支出（类）林业和草原（款）事业机构（项）。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8.农林水支出（类）林业和草原（款）森林生态效益补偿（项）。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652"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9.住房保障支出（类）住房改革支出（款）住房公积金（项）。</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676" w:firstLine="652" w:firstLineChars="200"/>
        <w:textAlignment w:val="baseline"/>
        <w:rPr>
          <w:rFonts w:hint="eastAsia" w:ascii="仿宋_GB2312" w:hAnsi="仿宋_GB2312" w:eastAsia="仿宋_GB2312" w:cs="仿宋_GB2312"/>
          <w:spacing w:val="3"/>
          <w:sz w:val="32"/>
          <w:szCs w:val="32"/>
          <w:lang w:eastAsia="zh-CN"/>
        </w:rPr>
      </w:pPr>
    </w:p>
    <w:p>
      <w:pPr>
        <w:pStyle w:val="5"/>
        <w:keepNext w:val="0"/>
        <w:keepLines w:val="0"/>
        <w:pageBreakBefore w:val="0"/>
        <w:widowControl/>
        <w:shd w:val="clear" w:color="auto"/>
        <w:tabs>
          <w:tab w:val="left" w:pos="1680"/>
        </w:tabs>
        <w:kinsoku w:val="0"/>
        <w:wordWrap/>
        <w:overflowPunct/>
        <w:topLinePunct w:val="0"/>
        <w:autoSpaceDE w:val="0"/>
        <w:autoSpaceDN w:val="0"/>
        <w:bidi w:val="0"/>
        <w:adjustRightInd w:val="0"/>
        <w:snapToGrid w:val="0"/>
        <w:spacing w:beforeAutospacing="0" w:afterAutospacing="0" w:line="560" w:lineRule="exact"/>
        <w:ind w:left="1677" w:leftChars="310" w:hanging="1026" w:hangingChars="31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附件：</w:t>
      </w:r>
      <w:r>
        <w:rPr>
          <w:rFonts w:hint="eastAsia" w:ascii="仿宋_GB2312" w:hAnsi="仿宋_GB2312" w:eastAsia="仿宋_GB2312" w:cs="仿宋_GB2312"/>
          <w:sz w:val="32"/>
          <w:szCs w:val="32"/>
        </w:rPr>
        <w:t>海南番加省级自然保护区管理站2024年度部门决算公开表</w:t>
      </w: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1257" w:leftChars="304" w:hanging="619" w:hangingChars="190"/>
        <w:textAlignment w:val="baseline"/>
        <w:rPr>
          <w:rFonts w:hint="eastAsia" w:ascii="仿宋_GB2312" w:hAnsi="仿宋_GB2312" w:eastAsia="仿宋_GB2312" w:cs="仿宋_GB2312"/>
          <w:spacing w:val="3"/>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after="0" w:line="560" w:lineRule="exact"/>
        <w:ind w:left="477" w:firstLine="0"/>
        <w:textAlignment w:val="baseline"/>
        <w:rPr>
          <w:rFonts w:hint="eastAsia" w:ascii="仿宋_GB2312" w:hAnsi="仿宋_GB2312" w:eastAsia="仿宋_GB2312" w:cs="仿宋_GB2312"/>
          <w:sz w:val="32"/>
          <w:szCs w:val="32"/>
          <w:lang w:eastAsia="zh-CN"/>
        </w:rPr>
      </w:pPr>
      <w:bookmarkStart w:id="29" w:name="_GoBack"/>
      <w:bookmarkEnd w:id="29"/>
    </w:p>
    <w:sectPr>
      <w:footerReference r:id="rId5" w:type="default"/>
      <w:pgSz w:w="11906" w:h="16839"/>
      <w:pgMar w:top="2098" w:right="1474" w:bottom="1984" w:left="1588"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RjY2UzNDMzOTQ2MmY1OWUyMDczMGQyNTk5MmU4ZWIifQ=="/>
    <w:docVar w:name="KSO_WPS_MARK_KEY" w:val="dc147229-c111-4ffa-af13-59768bd95330"/>
  </w:docVars>
  <w:rsids>
    <w:rsidRoot w:val="00E304FA"/>
    <w:rsid w:val="00054A69"/>
    <w:rsid w:val="000627C0"/>
    <w:rsid w:val="00080B7A"/>
    <w:rsid w:val="000B37A7"/>
    <w:rsid w:val="00104D46"/>
    <w:rsid w:val="00111017"/>
    <w:rsid w:val="00186C57"/>
    <w:rsid w:val="001B2598"/>
    <w:rsid w:val="001C358A"/>
    <w:rsid w:val="001C39C5"/>
    <w:rsid w:val="0021524B"/>
    <w:rsid w:val="00257D83"/>
    <w:rsid w:val="00266E73"/>
    <w:rsid w:val="0028338A"/>
    <w:rsid w:val="00290B5D"/>
    <w:rsid w:val="002A3A4C"/>
    <w:rsid w:val="003036F5"/>
    <w:rsid w:val="00332BD3"/>
    <w:rsid w:val="00335BF6"/>
    <w:rsid w:val="00340800"/>
    <w:rsid w:val="0035173E"/>
    <w:rsid w:val="00382DFD"/>
    <w:rsid w:val="003A3E37"/>
    <w:rsid w:val="003E1D3F"/>
    <w:rsid w:val="004709DD"/>
    <w:rsid w:val="004B492C"/>
    <w:rsid w:val="004E5950"/>
    <w:rsid w:val="00502D86"/>
    <w:rsid w:val="00597DCC"/>
    <w:rsid w:val="005D3CFA"/>
    <w:rsid w:val="005E5141"/>
    <w:rsid w:val="00610B88"/>
    <w:rsid w:val="00687681"/>
    <w:rsid w:val="00734F55"/>
    <w:rsid w:val="00757E83"/>
    <w:rsid w:val="00777669"/>
    <w:rsid w:val="007B38D9"/>
    <w:rsid w:val="007D63EB"/>
    <w:rsid w:val="007E1DCA"/>
    <w:rsid w:val="008263C3"/>
    <w:rsid w:val="00832A62"/>
    <w:rsid w:val="00834DB7"/>
    <w:rsid w:val="00921119"/>
    <w:rsid w:val="009469C0"/>
    <w:rsid w:val="00973410"/>
    <w:rsid w:val="009B5C33"/>
    <w:rsid w:val="009E1DCC"/>
    <w:rsid w:val="009E5A9F"/>
    <w:rsid w:val="00AC6B54"/>
    <w:rsid w:val="00AD0255"/>
    <w:rsid w:val="00B3603B"/>
    <w:rsid w:val="00B545CE"/>
    <w:rsid w:val="00B74326"/>
    <w:rsid w:val="00B843BD"/>
    <w:rsid w:val="00B87C86"/>
    <w:rsid w:val="00B90688"/>
    <w:rsid w:val="00BB45CB"/>
    <w:rsid w:val="00BB4DC5"/>
    <w:rsid w:val="00C111F3"/>
    <w:rsid w:val="00C24F35"/>
    <w:rsid w:val="00C25790"/>
    <w:rsid w:val="00C41C43"/>
    <w:rsid w:val="00C51C94"/>
    <w:rsid w:val="00CC3B0A"/>
    <w:rsid w:val="00D616EE"/>
    <w:rsid w:val="00D821AE"/>
    <w:rsid w:val="00DD24DB"/>
    <w:rsid w:val="00DF0313"/>
    <w:rsid w:val="00DF75CF"/>
    <w:rsid w:val="00E060BD"/>
    <w:rsid w:val="00E304FA"/>
    <w:rsid w:val="00E81476"/>
    <w:rsid w:val="00EA7883"/>
    <w:rsid w:val="00F245E8"/>
    <w:rsid w:val="00F34DB7"/>
    <w:rsid w:val="00F45CAA"/>
    <w:rsid w:val="00F77E76"/>
    <w:rsid w:val="08FF26FB"/>
    <w:rsid w:val="0D2C008D"/>
    <w:rsid w:val="14634486"/>
    <w:rsid w:val="23D7AC63"/>
    <w:rsid w:val="2FD66FEA"/>
    <w:rsid w:val="47825997"/>
    <w:rsid w:val="5777E8BC"/>
    <w:rsid w:val="5FBFB530"/>
    <w:rsid w:val="67053791"/>
    <w:rsid w:val="730B69EF"/>
    <w:rsid w:val="77F441EF"/>
    <w:rsid w:val="7AED2E7F"/>
    <w:rsid w:val="7B6F8C2A"/>
    <w:rsid w:val="7DE60785"/>
    <w:rsid w:val="7E7FB642"/>
    <w:rsid w:val="7F57C104"/>
    <w:rsid w:val="BAFD5FC0"/>
    <w:rsid w:val="BCF72B3B"/>
    <w:rsid w:val="CF7BF5A7"/>
    <w:rsid w:val="CFEE7207"/>
    <w:rsid w:val="F4F0D30C"/>
    <w:rsid w:val="FB971E43"/>
    <w:rsid w:val="FCBDA8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tabs>
        <w:tab w:val="center" w:pos="4153"/>
        <w:tab w:val="right" w:pos="8306"/>
      </w:tabs>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92D21-3295-47D0-895B-3442C8FEEEFF}">
  <ds:schemaRefs/>
</ds:datastoreItem>
</file>

<file path=docProps/app.xml><?xml version="1.0" encoding="utf-8"?>
<Properties xmlns="http://schemas.openxmlformats.org/officeDocument/2006/extended-properties" xmlns:vt="http://schemas.openxmlformats.org/officeDocument/2006/docPropsVTypes">
  <Pages>15</Pages>
  <Words>5915</Words>
  <Characters>6436</Characters>
  <Lines>184</Lines>
  <Paragraphs>177</Paragraphs>
  <TotalTime>3</TotalTime>
  <ScaleCrop>false</ScaleCrop>
  <LinksUpToDate>false</LinksUpToDate>
  <CharactersWithSpaces>6602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2024-09-20T06:58:00Z</dcterms:created>
  <dc:creator>uos</dc:creator>
  <cp:lastModifiedBy>淡</cp:lastModifiedBy>
  <cp:lastPrinted>2025-09-06T03:11:00Z</cp:lastPrinted>
  <dcterms:modified xsi:type="dcterms:W3CDTF">2025-09-09T03:33:36Z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2025-09-03T17:28:40Z</vt:filetime>
  </property>
  <property fmtid="{D5CDD505-2E9C-101B-9397-08002B2CF9AE}" pid="4" name="KSOProductBuildVer">
    <vt:lpwstr>2052-11.1.0.14036</vt:lpwstr>
  </property>
  <property fmtid="{D5CDD505-2E9C-101B-9397-08002B2CF9AE}" pid="5" name="ICV">
    <vt:lpwstr>299CDBED61FA4E2491126CE5B48480ED_12</vt:lpwstr>
  </property>
</Properties>
</file>