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E125B">
      <w:pPr>
        <w:spacing w:line="578"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val="en-US" w:eastAsia="zh-CN"/>
        </w:rPr>
        <w:t>海南省岛东林场</w:t>
      </w:r>
      <w:r>
        <w:rPr>
          <w:rFonts w:hint="eastAsia" w:asciiTheme="majorEastAsia" w:hAnsiTheme="majorEastAsia" w:eastAsiaTheme="majorEastAsia" w:cstheme="majorEastAsia"/>
          <w:b/>
          <w:bCs/>
          <w:color w:val="auto"/>
          <w:sz w:val="44"/>
          <w:szCs w:val="44"/>
        </w:rPr>
        <w:t>2024年度部门决算公开报告</w:t>
      </w:r>
    </w:p>
    <w:p w14:paraId="6277DC39">
      <w:pPr>
        <w:spacing w:line="578" w:lineRule="exact"/>
        <w:jc w:val="center"/>
        <w:rPr>
          <w:rFonts w:hint="eastAsia" w:ascii="黑体" w:hAnsi="ˎ̥" w:eastAsia="黑体"/>
          <w:b/>
          <w:color w:val="auto"/>
          <w:sz w:val="32"/>
          <w:szCs w:val="32"/>
        </w:rPr>
      </w:pPr>
    </w:p>
    <w:p w14:paraId="4FE64052">
      <w:pPr>
        <w:spacing w:line="578" w:lineRule="exact"/>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14:paraId="35CF485D">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 xml:space="preserve">第一部分 </w:t>
      </w:r>
      <w:r>
        <w:rPr>
          <w:rFonts w:hint="eastAsia" w:ascii="黑体" w:hAnsi="ˎ̥" w:eastAsia="黑体"/>
          <w:color w:val="auto"/>
          <w:sz w:val="32"/>
          <w:szCs w:val="32"/>
          <w:lang w:val="en-US" w:eastAsia="zh-CN"/>
        </w:rPr>
        <w:t>海南省岛东林场</w:t>
      </w:r>
      <w:r>
        <w:rPr>
          <w:rFonts w:hint="eastAsia" w:ascii="黑体" w:hAnsi="ˎ̥" w:eastAsia="黑体"/>
          <w:color w:val="auto"/>
          <w:sz w:val="32"/>
          <w:szCs w:val="32"/>
        </w:rPr>
        <w:t>基本情况</w:t>
      </w:r>
      <w:r>
        <w:rPr>
          <w:color w:val="auto"/>
          <w:sz w:val="32"/>
          <w:szCs w:val="32"/>
        </w:rPr>
        <w:tab/>
      </w:r>
      <w:r>
        <w:rPr>
          <w:color w:val="auto"/>
          <w:sz w:val="32"/>
          <w:szCs w:val="32"/>
        </w:rPr>
        <w:fldChar w:fldCharType="end"/>
      </w:r>
      <w:r>
        <w:rPr>
          <w:rFonts w:hint="eastAsia"/>
          <w:color w:val="auto"/>
          <w:sz w:val="32"/>
          <w:szCs w:val="32"/>
        </w:rPr>
        <w:t>2</w:t>
      </w:r>
    </w:p>
    <w:p w14:paraId="3CF6AD1F">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海南省岛东林场</w:t>
      </w:r>
      <w:r>
        <w:rPr>
          <w:rFonts w:hint="eastAsia" w:ascii="仿宋" w:hAnsi="仿宋" w:eastAsia="仿宋" w:cs="仿宋"/>
          <w:color w:val="auto"/>
          <w:sz w:val="32"/>
          <w:szCs w:val="32"/>
        </w:rPr>
        <w:t>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6D1FB661">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14:paraId="3D6ACB20">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 xml:space="preserve">第二部分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eastAsia"/>
          <w:color w:val="auto"/>
          <w:sz w:val="32"/>
          <w:szCs w:val="32"/>
        </w:rPr>
        <w:t>2</w:t>
      </w:r>
    </w:p>
    <w:p w14:paraId="300C9BD7">
      <w:pPr>
        <w:pStyle w:val="15"/>
        <w:tabs>
          <w:tab w:val="right" w:leader="dot" w:pos="8306"/>
        </w:tabs>
        <w:spacing w:line="578" w:lineRule="exact"/>
        <w:rPr>
          <w:rFonts w:hint="eastAsia"/>
          <w:color w:val="auto"/>
          <w:sz w:val="32"/>
          <w:szCs w:val="32"/>
        </w:rPr>
      </w:pPr>
      <w:r>
        <w:rPr>
          <w:color w:val="auto"/>
          <w:sz w:val="32"/>
          <w:szCs w:val="32"/>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eastAsia"/>
          <w:color w:val="auto"/>
          <w:sz w:val="32"/>
          <w:szCs w:val="32"/>
        </w:rPr>
        <w:t>3</w:t>
      </w:r>
    </w:p>
    <w:p w14:paraId="689EFD89">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3</w:t>
      </w:r>
    </w:p>
    <w:p w14:paraId="1B9487C0">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63C81392">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2D28D697">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w:t>
      </w:r>
      <w:r>
        <w:rPr>
          <w:rFonts w:hint="eastAsia" w:ascii="仿宋" w:hAnsi="仿宋" w:eastAsia="仿宋" w:cs="仿宋"/>
          <w:bCs/>
          <w:color w:val="auto"/>
          <w:sz w:val="32"/>
          <w:szCs w:val="32"/>
          <w:lang w:val="en-US" w:eastAsia="zh-CN"/>
        </w:rPr>
        <w:t>总体</w:t>
      </w:r>
      <w:r>
        <w:rPr>
          <w:rFonts w:hint="eastAsia" w:ascii="仿宋" w:hAnsi="仿宋" w:eastAsia="仿宋" w:cs="仿宋"/>
          <w:bCs/>
          <w:color w:val="auto"/>
          <w:sz w:val="32"/>
          <w:szCs w:val="32"/>
        </w:rPr>
        <w:t>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14:paraId="2ACF26AD">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5</w:t>
      </w:r>
    </w:p>
    <w:p w14:paraId="060D9B78">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rPr>
        <w:t>6</w:t>
      </w:r>
    </w:p>
    <w:p w14:paraId="2ADC4E70">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7</w:t>
      </w:r>
    </w:p>
    <w:p w14:paraId="242ABDC2">
      <w:pPr>
        <w:pStyle w:val="16"/>
        <w:numPr>
          <w:ilvl w:val="0"/>
          <w:numId w:val="1"/>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8</w:t>
      </w:r>
    </w:p>
    <w:p w14:paraId="4FB6A7D8">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14:paraId="3D150A07">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11</w:t>
      </w:r>
    </w:p>
    <w:p w14:paraId="50C84580">
      <w:pPr>
        <w:pStyle w:val="16"/>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14:paraId="1F96BD07">
      <w:pPr>
        <w:pStyle w:val="15"/>
        <w:tabs>
          <w:tab w:val="right" w:leader="dot" w:pos="8306"/>
        </w:tabs>
        <w:spacing w:line="578" w:lineRule="exact"/>
        <w:rPr>
          <w:rFonts w:hint="eastAsia" w:ascii="黑体" w:hAnsi="ˎ̥"/>
          <w:b/>
          <w:color w:val="auto"/>
          <w:sz w:val="32"/>
          <w:szCs w:val="32"/>
        </w:rPr>
      </w:pPr>
      <w:r>
        <w:rPr>
          <w:color w:val="auto"/>
          <w:sz w:val="32"/>
          <w:szCs w:val="32"/>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eastAsia"/>
          <w:color w:val="auto"/>
          <w:sz w:val="32"/>
          <w:szCs w:val="32"/>
        </w:rPr>
        <w:t>5</w:t>
      </w:r>
    </w:p>
    <w:p w14:paraId="0B51793D">
      <w:pPr>
        <w:spacing w:line="578" w:lineRule="exact"/>
        <w:jc w:val="both"/>
        <w:rPr>
          <w:rFonts w:hint="eastAsia" w:ascii="黑体" w:hAnsi="ˎ̥" w:eastAsia="黑体"/>
          <w:color w:val="auto"/>
          <w:sz w:val="32"/>
          <w:szCs w:val="32"/>
        </w:rPr>
      </w:pPr>
      <w:bookmarkStart w:id="2" w:name="_Toc23465_WPSOffice_Level1"/>
      <w:bookmarkStart w:id="3" w:name="_Toc22941_WPSOffice_Level1"/>
      <w:bookmarkStart w:id="4" w:name="_Toc32433_WPSOffice_Level1"/>
      <w:bookmarkStart w:id="5" w:name="_Toc1704_WPSOffice_Level1"/>
      <w:bookmarkStart w:id="6" w:name="_Toc10049_WPSOffice_Level1"/>
      <w:bookmarkStart w:id="7" w:name="_Toc10720_WPSOffice_Level1"/>
      <w:bookmarkStart w:id="8" w:name="_Toc24238_WPSOffice_Level2"/>
      <w:bookmarkStart w:id="9" w:name="_Toc20205_WPSOffice_Level2"/>
      <w:bookmarkStart w:id="10" w:name="_Toc32622_WPSOffice_Level2"/>
      <w:bookmarkStart w:id="11" w:name="_Toc20274_WPSOffice_Level2"/>
      <w:bookmarkStart w:id="12" w:name="_Toc14159_WPSOffice_Level2"/>
      <w:bookmarkStart w:id="13" w:name="_Toc26580_WPSOffice_Level2"/>
    </w:p>
    <w:p w14:paraId="37BB99D8">
      <w:pPr>
        <w:spacing w:line="578" w:lineRule="exact"/>
        <w:jc w:val="both"/>
        <w:rPr>
          <w:rFonts w:hint="eastAsia" w:ascii="黑体" w:hAnsi="ˎ̥" w:eastAsia="黑体"/>
          <w:color w:val="auto"/>
          <w:sz w:val="32"/>
          <w:szCs w:val="32"/>
        </w:rPr>
      </w:pPr>
    </w:p>
    <w:p w14:paraId="4446158E">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lang w:val="en-US" w:eastAsia="zh-CN"/>
        </w:rPr>
        <w:t>海南省岛东林场</w:t>
      </w:r>
      <w:r>
        <w:rPr>
          <w:rFonts w:hint="eastAsia" w:ascii="黑体" w:hAnsi="ˎ̥" w:eastAsia="黑体"/>
          <w:color w:val="auto"/>
          <w:sz w:val="32"/>
          <w:szCs w:val="32"/>
        </w:rPr>
        <w:t>基本情况</w:t>
      </w:r>
    </w:p>
    <w:p w14:paraId="188D8A0C">
      <w:pPr>
        <w:spacing w:line="578" w:lineRule="exact"/>
        <w:ind w:firstLine="640" w:firstLineChars="200"/>
        <w:rPr>
          <w:rFonts w:hint="eastAsia" w:ascii="楷体" w:hAnsi="楷体" w:eastAsia="楷体" w:cs="楷体"/>
          <w:color w:val="auto"/>
          <w:sz w:val="32"/>
          <w:szCs w:val="32"/>
        </w:rPr>
      </w:pPr>
    </w:p>
    <w:p w14:paraId="1794BBFB">
      <w:pPr>
        <w:numPr>
          <w:ilvl w:val="0"/>
          <w:numId w:val="2"/>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海南省岛东林场</w:t>
      </w:r>
      <w:bookmarkEnd w:id="8"/>
      <w:r>
        <w:rPr>
          <w:rFonts w:hint="eastAsia" w:ascii="黑体" w:hAnsi="黑体" w:eastAsia="黑体" w:cs="黑体"/>
          <w:color w:val="auto"/>
          <w:sz w:val="32"/>
          <w:szCs w:val="32"/>
        </w:rPr>
        <w:t>职责</w:t>
      </w:r>
      <w:bookmarkEnd w:id="9"/>
      <w:bookmarkEnd w:id="10"/>
      <w:bookmarkEnd w:id="11"/>
      <w:bookmarkEnd w:id="12"/>
      <w:bookmarkEnd w:id="13"/>
    </w:p>
    <w:p w14:paraId="21369E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宋体" w:hAnsi="宋体" w:eastAsia="宋体" w:cs="宋体"/>
          <w:kern w:val="0"/>
          <w:sz w:val="32"/>
          <w:szCs w:val="32"/>
        </w:rPr>
        <w:t>负责拟定并组织实施林区中长期发展规划和年度计划，开展资源调查与监测、林业统计、林业资产核算和森林资源档案管理工作；承担森林资源培育任务，组织开展植树造林、封山育林工作，开展生态公益林建设和管理，提高森林质量等级和生态效益；承担森林资源保护、合理利用和生态监测任务，负责森林负责林场基础设施建设、森林防火及病虫害防治工作，为森林公安机关查处涉林案件提供支持配合；承办上级主管部门交办的其他工作。</w:t>
      </w:r>
    </w:p>
    <w:p w14:paraId="34E227A9">
      <w:pPr>
        <w:spacing w:line="578" w:lineRule="exact"/>
        <w:ind w:firstLine="640" w:firstLineChars="200"/>
        <w:rPr>
          <w:rFonts w:hint="eastAsia" w:ascii="黑体" w:hAnsi="黑体" w:eastAsia="黑体" w:cs="黑体"/>
          <w:color w:val="auto"/>
          <w:sz w:val="32"/>
          <w:szCs w:val="32"/>
        </w:rPr>
      </w:pPr>
      <w:bookmarkStart w:id="14" w:name="_Toc6572_WPSOffice_Level2"/>
      <w:bookmarkStart w:id="15" w:name="_Toc17796_WPSOffice_Level2"/>
      <w:bookmarkStart w:id="16" w:name="_Toc24059_WPSOffice_Level2"/>
      <w:bookmarkStart w:id="17" w:name="_Toc24474_WPSOffice_Level2"/>
      <w:bookmarkStart w:id="18" w:name="_Toc4833_WPSOffice_Level2"/>
      <w:r>
        <w:rPr>
          <w:rFonts w:hint="eastAsia" w:ascii="黑体" w:hAnsi="黑体" w:eastAsia="黑体" w:cs="黑体"/>
          <w:color w:val="auto"/>
          <w:sz w:val="32"/>
          <w:szCs w:val="32"/>
        </w:rPr>
        <w:t>二、机构设置</w:t>
      </w:r>
      <w:bookmarkEnd w:id="14"/>
      <w:bookmarkEnd w:id="15"/>
      <w:bookmarkEnd w:id="16"/>
      <w:bookmarkEnd w:id="17"/>
      <w:bookmarkEnd w:id="18"/>
    </w:p>
    <w:p w14:paraId="0F2A6E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0"/>
          <w:sz w:val="32"/>
          <w:szCs w:val="32"/>
        </w:rPr>
      </w:pPr>
      <w:bookmarkStart w:id="19" w:name="_Toc30690_WPSOffice_Level1"/>
      <w:bookmarkStart w:id="20" w:name="_Toc28253_WPSOffice_Level1"/>
      <w:bookmarkStart w:id="21" w:name="_Toc15521_WPSOffice_Level1"/>
      <w:bookmarkStart w:id="22" w:name="_Toc30451_WPSOffice_Level1"/>
      <w:bookmarkStart w:id="23" w:name="_Toc8164_WPSOffice_Level1"/>
      <w:bookmarkStart w:id="24" w:name="_Toc6234_WPSOffice_Level1"/>
      <w:bookmarkStart w:id="25" w:name="_Toc6211_WPSOffice_Level2"/>
      <w:bookmarkStart w:id="26" w:name="_Toc32695_WPSOffice_Level2"/>
      <w:bookmarkStart w:id="27" w:name="_Toc4029_WPSOffice_Level2"/>
      <w:bookmarkStart w:id="28" w:name="_Toc32472_WPSOffice_Level2"/>
      <w:bookmarkStart w:id="29" w:name="_Toc11518_WPSOffice_Level2"/>
      <w:bookmarkStart w:id="30" w:name="_Toc8867_WPSOffice_Level2"/>
      <w:r>
        <w:rPr>
          <w:rFonts w:hint="eastAsia" w:ascii="宋体" w:hAnsi="宋体" w:eastAsia="宋体" w:cs="宋体"/>
          <w:kern w:val="0"/>
          <w:sz w:val="32"/>
          <w:szCs w:val="32"/>
          <w:lang w:val="en-US" w:eastAsia="zh-CN"/>
        </w:rPr>
        <w:t>海南省岛东林场</w:t>
      </w:r>
      <w:r>
        <w:rPr>
          <w:rFonts w:hint="eastAsia" w:ascii="宋体" w:hAnsi="宋体" w:eastAsia="宋体" w:cs="宋体"/>
          <w:kern w:val="0"/>
          <w:sz w:val="32"/>
          <w:szCs w:val="32"/>
          <w:lang w:eastAsia="zh-CN"/>
        </w:rPr>
        <w:t>是隶属于</w:t>
      </w:r>
      <w:r>
        <w:rPr>
          <w:rFonts w:hint="eastAsia" w:ascii="宋体" w:hAnsi="宋体" w:eastAsia="宋体" w:cs="宋体"/>
          <w:kern w:val="0"/>
          <w:sz w:val="32"/>
          <w:szCs w:val="32"/>
        </w:rPr>
        <w:t>海南省林业局</w:t>
      </w:r>
      <w:r>
        <w:rPr>
          <w:rFonts w:hint="eastAsia" w:ascii="宋体" w:hAnsi="宋体" w:eastAsia="宋体" w:cs="宋体"/>
          <w:kern w:val="0"/>
          <w:sz w:val="32"/>
          <w:szCs w:val="32"/>
          <w:lang w:eastAsia="zh-CN"/>
        </w:rPr>
        <w:t>主管的公</w:t>
      </w:r>
      <w:r>
        <w:rPr>
          <w:rFonts w:hint="eastAsia" w:ascii="宋体" w:hAnsi="宋体" w:eastAsia="宋体" w:cs="宋体"/>
          <w:kern w:val="0"/>
          <w:sz w:val="32"/>
          <w:szCs w:val="32"/>
          <w:lang w:val="en-US" w:eastAsia="zh-CN"/>
        </w:rPr>
        <w:t>益二类事业单位基层预算单位</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单位</w:t>
      </w:r>
      <w:r>
        <w:rPr>
          <w:rFonts w:hint="eastAsia" w:ascii="宋体" w:hAnsi="宋体" w:eastAsia="宋体" w:cs="宋体"/>
          <w:kern w:val="0"/>
          <w:sz w:val="32"/>
          <w:szCs w:val="32"/>
        </w:rPr>
        <w:t>无内设机构。</w:t>
      </w:r>
    </w:p>
    <w:p w14:paraId="51089F75">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第二部分  </w:t>
      </w:r>
      <w:r>
        <w:rPr>
          <w:rFonts w:hint="eastAsia" w:ascii="黑体" w:hAnsi="ˎ̥" w:eastAsia="黑体"/>
          <w:color w:val="auto"/>
          <w:sz w:val="32"/>
          <w:szCs w:val="32"/>
          <w:lang w:val="en-US" w:eastAsia="zh-CN"/>
        </w:rPr>
        <w:t>海南省岛东林场</w:t>
      </w:r>
      <w:r>
        <w:rPr>
          <w:rFonts w:hint="default" w:ascii="黑体" w:hAnsi="ˎ̥" w:eastAsia="黑体"/>
          <w:color w:val="auto"/>
          <w:sz w:val="32"/>
          <w:szCs w:val="32"/>
          <w:lang w:val="en-US"/>
        </w:rPr>
        <w:t>2024</w:t>
      </w:r>
      <w:r>
        <w:rPr>
          <w:rFonts w:hint="eastAsia" w:ascii="黑体" w:hAnsi="ˎ̥" w:eastAsia="黑体"/>
          <w:color w:val="auto"/>
          <w:sz w:val="32"/>
          <w:szCs w:val="32"/>
        </w:rPr>
        <w:t>年度部门决算公开报表</w:t>
      </w:r>
      <w:bookmarkEnd w:id="19"/>
      <w:bookmarkEnd w:id="20"/>
      <w:bookmarkEnd w:id="21"/>
      <w:bookmarkEnd w:id="22"/>
      <w:bookmarkEnd w:id="23"/>
      <w:bookmarkEnd w:id="24"/>
    </w:p>
    <w:p w14:paraId="296DB109">
      <w:pPr>
        <w:spacing w:line="578" w:lineRule="exact"/>
        <w:ind w:firstLine="645"/>
        <w:rPr>
          <w:rFonts w:hint="eastAsia" w:ascii="黑体" w:hAnsi="黑体" w:eastAsia="黑体" w:cs="黑体"/>
          <w:color w:val="auto"/>
          <w:sz w:val="32"/>
          <w:szCs w:val="32"/>
        </w:rPr>
      </w:pPr>
    </w:p>
    <w:p w14:paraId="37A371DD">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14:paraId="291AA088">
      <w:pPr>
        <w:spacing w:line="578" w:lineRule="exact"/>
        <w:ind w:firstLine="645"/>
        <w:rPr>
          <w:rFonts w:hint="eastAsia" w:ascii="黑体" w:hAnsi="黑体" w:eastAsia="黑体" w:cs="黑体"/>
          <w:color w:val="auto"/>
          <w:sz w:val="32"/>
          <w:szCs w:val="32"/>
        </w:rPr>
      </w:pPr>
      <w:bookmarkStart w:id="31" w:name="_Toc28622_WPSOffice_Level2"/>
      <w:bookmarkStart w:id="32" w:name="_Toc25608_WPSOffice_Level2"/>
      <w:bookmarkStart w:id="33" w:name="_Toc30334_WPSOffice_Level2"/>
      <w:bookmarkStart w:id="34" w:name="_Toc14349_WPSOffice_Level2"/>
      <w:bookmarkStart w:id="35" w:name="_Toc23139_WPSOffice_Level2"/>
      <w:bookmarkStart w:id="36" w:name="_Toc26621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17626_WPSOffice_Level2"/>
      <w:bookmarkStart w:id="38" w:name="_Toc17858_WPSOffice_Level2"/>
      <w:bookmarkStart w:id="39" w:name="_Toc3262_WPSOffice_Level2"/>
      <w:bookmarkStart w:id="40" w:name="_Toc5489_WPSOffice_Level2"/>
      <w:bookmarkStart w:id="41" w:name="_Toc14658_WPSOffice_Level2"/>
      <w:bookmarkStart w:id="42" w:name="_Toc13854_WPSOffice_Level2"/>
    </w:p>
    <w:p w14:paraId="338A8110">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4265_WPSOffice_Level2"/>
      <w:bookmarkStart w:id="44" w:name="_Toc13701_WPSOffice_Level2"/>
      <w:bookmarkStart w:id="45" w:name="_Toc23493_WPSOffice_Level2"/>
      <w:bookmarkStart w:id="46" w:name="_Toc21415_WPSOffice_Level2"/>
      <w:bookmarkStart w:id="47" w:name="_Toc7988_WPSOffice_Level2"/>
      <w:bookmarkStart w:id="48" w:name="_Toc23591_WPSOffice_Level2"/>
    </w:p>
    <w:p w14:paraId="742BD0D9">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14:paraId="14C9E936">
      <w:pPr>
        <w:spacing w:line="578" w:lineRule="exact"/>
        <w:ind w:firstLine="645"/>
        <w:rPr>
          <w:rFonts w:hint="eastAsia" w:ascii="黑体" w:hAnsi="黑体" w:eastAsia="黑体" w:cs="黑体"/>
          <w:color w:val="auto"/>
          <w:sz w:val="32"/>
          <w:szCs w:val="32"/>
        </w:rPr>
      </w:pPr>
      <w:bookmarkStart w:id="49" w:name="_Toc23829_WPSOffice_Level2"/>
      <w:bookmarkStart w:id="50" w:name="_Toc22783_WPSOffice_Level2"/>
      <w:bookmarkStart w:id="51" w:name="_Toc7879_WPSOffice_Level2"/>
      <w:bookmarkStart w:id="52" w:name="_Toc25166_WPSOffice_Level2"/>
      <w:bookmarkStart w:id="53" w:name="_Toc2158_WPSOffice_Level2"/>
      <w:bookmarkStart w:id="54" w:name="_Toc13516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2632_WPSOffice_Level2"/>
      <w:bookmarkStart w:id="56" w:name="_Toc17283_WPSOffice_Level2"/>
      <w:bookmarkStart w:id="57" w:name="_Toc17833_WPSOffice_Level2"/>
      <w:bookmarkStart w:id="58" w:name="_Toc5343_WPSOffice_Level2"/>
      <w:bookmarkStart w:id="59" w:name="_Toc25362_WPSOffice_Level2"/>
      <w:bookmarkStart w:id="60" w:name="_Toc8373_WPSOffice_Level2"/>
    </w:p>
    <w:p w14:paraId="05A0BDEA">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14:paraId="111EAC42">
      <w:pPr>
        <w:spacing w:line="578" w:lineRule="exact"/>
        <w:ind w:left="1118" w:leftChars="304" w:hanging="480" w:hangingChars="150"/>
        <w:rPr>
          <w:rFonts w:hint="eastAsia" w:ascii="黑体" w:hAnsi="黑体" w:eastAsia="黑体" w:cs="黑体"/>
          <w:color w:val="auto"/>
          <w:sz w:val="32"/>
          <w:szCs w:val="32"/>
        </w:rPr>
      </w:pPr>
      <w:bookmarkStart w:id="61" w:name="_Toc13345_WPSOffice_Level2"/>
      <w:bookmarkStart w:id="62" w:name="_Toc21310_WPSOffice_Level2"/>
      <w:bookmarkStart w:id="63" w:name="_Toc11799_WPSOffice_Level2"/>
      <w:bookmarkStart w:id="64" w:name="_Toc6020_WPSOffice_Level2"/>
      <w:bookmarkStart w:id="65" w:name="_Toc1533_WPSOffice_Level2"/>
      <w:bookmarkStart w:id="66" w:name="_Toc5594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14:paraId="76765CE4">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14:paraId="22A17BF4">
      <w:pPr>
        <w:spacing w:line="578" w:lineRule="exact"/>
        <w:ind w:firstLine="640"/>
        <w:rPr>
          <w:rFonts w:hint="eastAsia" w:ascii="黑体" w:hAnsi="黑体" w:eastAsia="黑体" w:cs="黑体"/>
          <w:color w:val="auto"/>
          <w:sz w:val="32"/>
          <w:szCs w:val="32"/>
        </w:rPr>
      </w:pPr>
      <w:bookmarkStart w:id="67" w:name="_Toc19961_WPSOffice_Level2"/>
      <w:bookmarkStart w:id="68" w:name="_Toc29886_WPSOffice_Level2"/>
      <w:bookmarkStart w:id="69" w:name="_Toc9377_WPSOffice_Level2"/>
      <w:bookmarkStart w:id="70" w:name="_Toc1820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14:paraId="032B1F1C">
      <w:pPr>
        <w:spacing w:line="578" w:lineRule="exact"/>
        <w:ind w:firstLine="640"/>
        <w:rPr>
          <w:rFonts w:hint="eastAsia" w:ascii="仿宋" w:hAnsi="仿宋" w:eastAsia="仿宋" w:cs="仿宋"/>
          <w:color w:val="auto"/>
          <w:w w:val="100"/>
          <w:sz w:val="32"/>
          <w:szCs w:val="32"/>
        </w:rPr>
      </w:pPr>
      <w:r>
        <w:rPr>
          <w:rFonts w:hint="eastAsia" w:ascii="仿宋" w:hAnsi="仿宋" w:eastAsia="仿宋" w:cs="仿宋"/>
          <w:color w:val="auto"/>
          <w:w w:val="100"/>
          <w:sz w:val="32"/>
          <w:szCs w:val="32"/>
        </w:rPr>
        <w:t xml:space="preserve">以上报表见附件1。   </w:t>
      </w:r>
    </w:p>
    <w:p w14:paraId="208E2AC8">
      <w:pPr>
        <w:spacing w:line="578" w:lineRule="exact"/>
        <w:rPr>
          <w:rFonts w:hint="eastAsia" w:ascii="黑体" w:hAnsi="黑体" w:eastAsia="黑体" w:cs="黑体"/>
          <w:color w:val="auto"/>
          <w:sz w:val="32"/>
          <w:szCs w:val="32"/>
        </w:rPr>
      </w:pPr>
    </w:p>
    <w:p w14:paraId="4BA4BE4B">
      <w:pPr>
        <w:spacing w:line="578" w:lineRule="exact"/>
        <w:jc w:val="center"/>
        <w:rPr>
          <w:rFonts w:hint="eastAsia" w:ascii="黑体" w:hAnsi="ˎ̥" w:eastAsia="黑体"/>
          <w:color w:val="auto"/>
          <w:sz w:val="32"/>
          <w:szCs w:val="32"/>
        </w:rPr>
      </w:pPr>
      <w:bookmarkStart w:id="71" w:name="_Toc4402_WPSOffice_Level1"/>
      <w:bookmarkStart w:id="72" w:name="_Toc28629_WPSOffice_Level1"/>
      <w:bookmarkStart w:id="73" w:name="_Toc31264_WPSOffice_Level1"/>
      <w:bookmarkStart w:id="74" w:name="_Toc16686_WPSOffice_Level1"/>
      <w:bookmarkStart w:id="75" w:name="_Toc29683_WPSOffice_Level1"/>
      <w:bookmarkStart w:id="76" w:name="_Toc27590_WPSOffice_Level1"/>
      <w:r>
        <w:rPr>
          <w:rFonts w:hint="eastAsia" w:ascii="黑体" w:hAnsi="ˎ̥" w:eastAsia="黑体"/>
          <w:color w:val="auto"/>
          <w:sz w:val="32"/>
          <w:szCs w:val="32"/>
        </w:rPr>
        <w:t xml:space="preserve">第三部分  </w:t>
      </w:r>
      <w:r>
        <w:rPr>
          <w:rFonts w:hint="eastAsia" w:ascii="黑体" w:hAnsi="ˎ̥" w:eastAsia="黑体" w:cs="黑体"/>
          <w:sz w:val="32"/>
          <w:szCs w:val="32"/>
          <w:shd w:val="clear" w:color="auto" w:fill="FFFFFF"/>
          <w:lang w:val="en-US"/>
        </w:rPr>
        <w:t>海南省</w:t>
      </w:r>
      <w:r>
        <w:rPr>
          <w:rFonts w:hint="eastAsia" w:ascii="黑体" w:hAnsi="ˎ̥" w:eastAsia="黑体" w:cs="黑体"/>
          <w:sz w:val="32"/>
          <w:szCs w:val="32"/>
          <w:shd w:val="clear" w:color="auto" w:fill="FFFFFF"/>
          <w:lang w:val="en-US" w:eastAsia="zh-CN"/>
        </w:rPr>
        <w:t>岛东</w:t>
      </w:r>
      <w:r>
        <w:rPr>
          <w:rFonts w:hint="eastAsia" w:ascii="黑体" w:hAnsi="ˎ̥" w:eastAsia="黑体" w:cs="黑体"/>
          <w:sz w:val="32"/>
          <w:szCs w:val="32"/>
          <w:shd w:val="clear" w:color="auto" w:fill="FFFFFF"/>
          <w:lang w:val="en-US"/>
        </w:rPr>
        <w:t>林场</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14:paraId="1BFEF9E3">
      <w:pPr>
        <w:spacing w:line="578" w:lineRule="exact"/>
        <w:jc w:val="center"/>
        <w:rPr>
          <w:rFonts w:hint="eastAsia" w:ascii="黑体" w:hAnsi="ˎ̥" w:eastAsia="黑体"/>
          <w:color w:val="auto"/>
          <w:sz w:val="32"/>
          <w:szCs w:val="32"/>
        </w:rPr>
      </w:pPr>
    </w:p>
    <w:p w14:paraId="32CF43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eastAsia" w:ascii="仿宋_GB2312" w:hAnsi="ˎ̥" w:eastAsia="仿宋_GB2312"/>
          <w:color w:val="auto"/>
          <w:sz w:val="32"/>
          <w:szCs w:val="32"/>
          <w:lang w:val="en-US" w:eastAsia="zh-CN"/>
        </w:rPr>
        <w:t>2455.53</w:t>
      </w:r>
      <w:r>
        <w:rPr>
          <w:rFonts w:hint="eastAsia" w:ascii="仿宋_GB2312" w:hAnsi="ˎ̥" w:eastAsia="仿宋_GB2312"/>
          <w:color w:val="auto"/>
          <w:sz w:val="32"/>
          <w:szCs w:val="32"/>
        </w:rPr>
        <w:t>万元，支出总计</w:t>
      </w:r>
      <w:r>
        <w:rPr>
          <w:rFonts w:hint="eastAsia" w:ascii="仿宋_GB2312" w:hAnsi="ˎ̥" w:eastAsia="仿宋_GB2312"/>
          <w:color w:val="auto"/>
          <w:sz w:val="32"/>
          <w:szCs w:val="32"/>
          <w:lang w:val="en-US" w:eastAsia="zh-CN"/>
        </w:rPr>
        <w:t>2455.53</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w:t>
      </w:r>
      <w:r>
        <w:rPr>
          <w:rFonts w:hint="eastAsia" w:ascii="仿宋_GB2312" w:hAnsi="ˎ̥" w:eastAsia="仿宋_GB2312"/>
          <w:color w:val="auto"/>
          <w:sz w:val="32"/>
          <w:szCs w:val="32"/>
          <w:lang w:eastAsia="zh-CN"/>
        </w:rPr>
        <w:t>、支出总计各增加</w:t>
      </w:r>
      <w:r>
        <w:rPr>
          <w:rFonts w:hint="eastAsia" w:ascii="仿宋_GB2312" w:hAnsi="ˎ̥" w:eastAsia="仿宋_GB2312"/>
          <w:color w:val="auto"/>
          <w:sz w:val="32"/>
          <w:szCs w:val="32"/>
          <w:lang w:val="en-US" w:eastAsia="zh-CN"/>
        </w:rPr>
        <w:t>552.12</w:t>
      </w:r>
      <w:r>
        <w:rPr>
          <w:rFonts w:hint="eastAsia" w:ascii="仿宋_GB2312" w:hAnsi="ˎ̥" w:eastAsia="仿宋_GB2312"/>
          <w:color w:val="auto"/>
          <w:sz w:val="32"/>
          <w:szCs w:val="32"/>
          <w:lang w:eastAsia="zh-CN"/>
        </w:rPr>
        <w:t>万元，增长</w:t>
      </w:r>
      <w:r>
        <w:rPr>
          <w:rFonts w:hint="eastAsia" w:ascii="仿宋_GB2312" w:hAnsi="ˎ̥" w:eastAsia="仿宋_GB2312"/>
          <w:color w:val="auto"/>
          <w:sz w:val="32"/>
          <w:szCs w:val="32"/>
          <w:lang w:val="en-US" w:eastAsia="zh-CN"/>
        </w:rPr>
        <w:t>29%</w:t>
      </w:r>
      <w:r>
        <w:rPr>
          <w:rFonts w:hint="eastAsia" w:ascii="仿宋_GB2312" w:hAnsi="ˎ̥" w:eastAsia="仿宋_GB2312"/>
          <w:color w:val="auto"/>
          <w:sz w:val="32"/>
          <w:szCs w:val="32"/>
          <w:highlight w:val="none"/>
          <w:lang w:val="en-US" w:eastAsia="zh-CN"/>
        </w:rPr>
        <w:t>。</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中央衔接资金的增加。</w:t>
      </w:r>
    </w:p>
    <w:p w14:paraId="14F976C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401BB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eastAsia" w:ascii="仿宋_GB2312" w:hAnsi="ˎ̥" w:eastAsia="仿宋_GB2312"/>
          <w:color w:val="auto"/>
          <w:sz w:val="32"/>
          <w:szCs w:val="32"/>
          <w:lang w:val="en-US" w:eastAsia="zh-CN"/>
        </w:rPr>
        <w:t>2455.53</w:t>
      </w:r>
      <w:r>
        <w:rPr>
          <w:rFonts w:hint="eastAsia" w:ascii="仿宋_GB2312" w:hAnsi="ˎ̥" w:eastAsia="仿宋_GB2312"/>
          <w:color w:val="auto"/>
          <w:sz w:val="32"/>
          <w:szCs w:val="32"/>
        </w:rPr>
        <w:t>万元。</w:t>
      </w:r>
    </w:p>
    <w:p w14:paraId="2A6B736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eastAsia" w:ascii="仿宋_GB2312" w:hAnsi="ˎ̥" w:eastAsia="仿宋_GB2312"/>
          <w:color w:val="auto"/>
          <w:sz w:val="32"/>
          <w:szCs w:val="32"/>
          <w:lang w:val="en-US" w:eastAsia="zh-CN"/>
        </w:rPr>
        <w:t>12.34</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val="en-US" w:eastAsia="zh-CN"/>
        </w:rPr>
        <w:t>减少8.89</w:t>
      </w:r>
      <w:r>
        <w:rPr>
          <w:rFonts w:hint="eastAsia" w:ascii="仿宋_GB2312" w:hAnsi="ˎ̥" w:eastAsia="仿宋_GB2312"/>
          <w:color w:val="auto"/>
          <w:sz w:val="32"/>
          <w:szCs w:val="32"/>
        </w:rPr>
        <w:t>万元，主要原因</w:t>
      </w:r>
      <w:r>
        <w:rPr>
          <w:rFonts w:hint="eastAsia" w:ascii="仿宋_GB2312" w:hAnsi="ˎ̥" w:eastAsia="仿宋_GB2312"/>
          <w:color w:val="auto"/>
          <w:sz w:val="32"/>
          <w:szCs w:val="32"/>
          <w:highlight w:val="none"/>
        </w:rPr>
        <w:t>是</w:t>
      </w:r>
      <w:r>
        <w:rPr>
          <w:rFonts w:hint="eastAsia" w:ascii="仿宋_GB2312" w:hAnsi="ˎ̥" w:eastAsia="仿宋_GB2312"/>
          <w:color w:val="auto"/>
          <w:sz w:val="32"/>
          <w:szCs w:val="32"/>
          <w:highlight w:val="none"/>
          <w:lang w:eastAsia="zh-CN"/>
        </w:rPr>
        <w:t>非财政拨款结余</w:t>
      </w:r>
      <w:r>
        <w:rPr>
          <w:rFonts w:hint="eastAsia" w:ascii="仿宋_GB2312" w:hAnsi="ˎ̥" w:eastAsia="仿宋_GB2312"/>
          <w:color w:val="auto"/>
          <w:sz w:val="32"/>
          <w:szCs w:val="32"/>
          <w:highlight w:val="none"/>
          <w:lang w:val="en-US" w:eastAsia="zh-CN"/>
        </w:rPr>
        <w:t>减少</w:t>
      </w:r>
      <w:r>
        <w:rPr>
          <w:rFonts w:hint="eastAsia" w:ascii="仿宋_GB2312" w:hAnsi="ˎ̥" w:eastAsia="仿宋_GB2312"/>
          <w:color w:val="auto"/>
          <w:sz w:val="32"/>
          <w:szCs w:val="32"/>
          <w:highlight w:val="none"/>
        </w:rPr>
        <w:t>。</w:t>
      </w:r>
    </w:p>
    <w:p w14:paraId="55AACD0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eastAsia" w:ascii="仿宋_GB2312" w:hAnsi="ˎ̥" w:eastAsia="仿宋_GB2312"/>
          <w:color w:val="auto"/>
          <w:sz w:val="32"/>
          <w:szCs w:val="32"/>
          <w:lang w:val="en-US" w:eastAsia="zh-CN"/>
        </w:rPr>
        <w:t>782.03</w:t>
      </w:r>
      <w:r>
        <w:rPr>
          <w:rFonts w:hint="eastAsia" w:ascii="仿宋_GB2312" w:hAnsi="ˎ̥" w:eastAsia="仿宋_GB2312"/>
          <w:color w:val="auto"/>
          <w:sz w:val="32"/>
          <w:szCs w:val="32"/>
        </w:rPr>
        <w:t>万元，主要是</w:t>
      </w:r>
      <w:r>
        <w:rPr>
          <w:rFonts w:hint="eastAsia" w:ascii="仿宋_GB2312" w:hAnsi="ˎ̥" w:eastAsia="仿宋_GB2312"/>
          <w:color w:val="auto"/>
          <w:sz w:val="32"/>
          <w:szCs w:val="32"/>
          <w:highlight w:val="none"/>
          <w:lang w:eastAsia="zh-CN"/>
        </w:rPr>
        <w:t>以前年度资金结存、自有资金项目结转结余等</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年度决算数减少</w:t>
      </w:r>
      <w:r>
        <w:rPr>
          <w:rFonts w:hint="eastAsia" w:ascii="仿宋_GB2312" w:hAnsi="ˎ̥" w:eastAsia="仿宋_GB2312"/>
          <w:color w:val="auto"/>
          <w:sz w:val="32"/>
          <w:szCs w:val="32"/>
          <w:lang w:val="en-US" w:eastAsia="zh-CN"/>
        </w:rPr>
        <w:t>128.11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14.1</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eastAsia="zh-CN"/>
        </w:rPr>
        <w:t>部分自有资金项目已完成</w:t>
      </w:r>
      <w:r>
        <w:rPr>
          <w:rFonts w:hint="eastAsia" w:ascii="仿宋_GB2312" w:hAnsi="ˎ̥" w:eastAsia="仿宋_GB2312"/>
          <w:color w:val="auto"/>
          <w:sz w:val="32"/>
          <w:szCs w:val="32"/>
        </w:rPr>
        <w:t>。</w:t>
      </w:r>
    </w:p>
    <w:p w14:paraId="36D553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1007F8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eastAsia" w:ascii="仿宋_GB2312" w:hAnsi="ˎ̥" w:eastAsia="仿宋_GB2312"/>
          <w:color w:val="auto"/>
          <w:sz w:val="32"/>
          <w:szCs w:val="32"/>
          <w:lang w:val="en-US" w:eastAsia="zh-CN"/>
        </w:rPr>
        <w:t>2455.53</w:t>
      </w:r>
      <w:r>
        <w:rPr>
          <w:rFonts w:hint="eastAsia" w:ascii="仿宋_GB2312" w:hAnsi="ˎ̥" w:eastAsia="仿宋_GB2312"/>
          <w:color w:val="auto"/>
          <w:sz w:val="32"/>
          <w:szCs w:val="32"/>
        </w:rPr>
        <w:t>万元。</w:t>
      </w:r>
    </w:p>
    <w:p w14:paraId="30958F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rPr>
        <w:t>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highlight w:val="none"/>
        </w:rPr>
        <w:t>主要是</w:t>
      </w:r>
      <w:r>
        <w:rPr>
          <w:rFonts w:hint="eastAsia" w:ascii="仿宋_GB2312" w:hAnsi="ˎ̥" w:eastAsia="仿宋_GB2312"/>
          <w:color w:val="auto"/>
          <w:sz w:val="32"/>
          <w:szCs w:val="32"/>
          <w:highlight w:val="none"/>
          <w:lang w:eastAsia="zh-CN"/>
        </w:rPr>
        <w:t>单位自有资金结余至累计盈余</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年度决算数减少</w:t>
      </w:r>
      <w:r>
        <w:rPr>
          <w:rFonts w:hint="eastAsia" w:ascii="仿宋_GB2312" w:hAnsi="ˎ̥" w:eastAsia="仿宋_GB2312"/>
          <w:color w:val="auto"/>
          <w:sz w:val="32"/>
          <w:szCs w:val="32"/>
          <w:highlight w:val="none"/>
          <w:lang w:val="en-US" w:eastAsia="zh-CN"/>
        </w:rPr>
        <w:t>185.79</w:t>
      </w:r>
      <w:r>
        <w:rPr>
          <w:rFonts w:hint="eastAsia" w:ascii="仿宋_GB2312" w:hAnsi="ˎ̥" w:eastAsia="仿宋_GB2312"/>
          <w:color w:val="auto"/>
          <w:sz w:val="32"/>
          <w:szCs w:val="32"/>
          <w:highlight w:val="none"/>
        </w:rPr>
        <w:t>万元，下降</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2023年有结余分配，2024年无结余分配</w:t>
      </w:r>
      <w:r>
        <w:rPr>
          <w:rFonts w:hint="eastAsia" w:ascii="仿宋_GB2312" w:hAnsi="ˎ̥" w:eastAsia="仿宋_GB2312"/>
          <w:color w:val="auto"/>
          <w:sz w:val="32"/>
          <w:szCs w:val="32"/>
          <w:highlight w:val="none"/>
        </w:rPr>
        <w:t>。</w:t>
      </w:r>
    </w:p>
    <w:p w14:paraId="1595D2C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年末结转结余</w:t>
      </w:r>
      <w:r>
        <w:rPr>
          <w:rFonts w:hint="eastAsia" w:ascii="仿宋_GB2312" w:hAnsi="ˎ̥" w:eastAsia="仿宋_GB2312"/>
          <w:color w:val="auto"/>
          <w:sz w:val="32"/>
          <w:szCs w:val="32"/>
          <w:highlight w:val="none"/>
          <w:lang w:val="en-US" w:eastAsia="zh-CN"/>
        </w:rPr>
        <w:t>650.79</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eastAsia="zh-CN"/>
        </w:rPr>
        <w:t>以前年度资金结存、自有资金项目结转结余。</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w:t>
      </w:r>
      <w:r>
        <w:rPr>
          <w:rFonts w:hint="eastAsia" w:ascii="仿宋_GB2312" w:hAnsi="ˎ̥" w:eastAsia="仿宋_GB2312"/>
          <w:color w:val="auto"/>
          <w:sz w:val="32"/>
          <w:szCs w:val="32"/>
          <w:highlight w:val="none"/>
          <w:lang w:val="en-US" w:eastAsia="zh-CN"/>
        </w:rPr>
        <w:t>减少17.14</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下降2.57%</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自有资金保障项目减少</w:t>
      </w:r>
      <w:r>
        <w:rPr>
          <w:rFonts w:hint="eastAsia" w:ascii="仿宋_GB2312" w:hAnsi="ˎ̥" w:eastAsia="仿宋_GB2312"/>
          <w:color w:val="auto"/>
          <w:sz w:val="32"/>
          <w:szCs w:val="32"/>
          <w:highlight w:val="none"/>
        </w:rPr>
        <w:t>。</w:t>
      </w:r>
    </w:p>
    <w:p w14:paraId="0F4643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eastAsia" w:ascii="仿宋_GB2312" w:hAnsi="ˎ̥" w:eastAsia="仿宋_GB2312"/>
          <w:color w:val="auto"/>
          <w:sz w:val="32"/>
          <w:szCs w:val="32"/>
          <w:lang w:val="en-US" w:eastAsia="zh-CN"/>
        </w:rPr>
        <w:t>1661.15</w:t>
      </w:r>
      <w:r>
        <w:rPr>
          <w:rFonts w:hint="eastAsia" w:ascii="仿宋_GB2312" w:hAnsi="ˎ̥" w:eastAsia="仿宋_GB2312"/>
          <w:color w:val="auto"/>
          <w:sz w:val="32"/>
          <w:szCs w:val="32"/>
        </w:rPr>
        <w:t>万元，其中：财政拨款收入</w:t>
      </w:r>
      <w:r>
        <w:rPr>
          <w:rFonts w:hint="eastAsia" w:ascii="仿宋_GB2312" w:hAnsi="ˎ̥" w:eastAsia="仿宋_GB2312"/>
          <w:color w:val="auto"/>
          <w:sz w:val="32"/>
          <w:szCs w:val="32"/>
          <w:lang w:val="en-US" w:eastAsia="zh-CN"/>
        </w:rPr>
        <w:t>1631.31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98.2</w:t>
      </w:r>
      <w:r>
        <w:rPr>
          <w:rFonts w:hint="eastAsia" w:ascii="仿宋_GB2312" w:hAnsi="ˎ̥" w:eastAsia="仿宋_GB2312"/>
          <w:color w:val="auto"/>
          <w:sz w:val="32"/>
          <w:szCs w:val="32"/>
        </w:rPr>
        <w:t>%；其他收入</w:t>
      </w:r>
      <w:r>
        <w:rPr>
          <w:rFonts w:hint="eastAsia" w:ascii="仿宋_GB2312" w:hAnsi="ˎ̥" w:eastAsia="仿宋_GB2312"/>
          <w:color w:val="auto"/>
          <w:sz w:val="32"/>
          <w:szCs w:val="32"/>
          <w:lang w:val="en-US" w:eastAsia="zh-CN"/>
        </w:rPr>
        <w:t>29.84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1.8</w:t>
      </w:r>
      <w:r>
        <w:rPr>
          <w:rFonts w:hint="eastAsia" w:ascii="仿宋_GB2312" w:hAnsi="ˎ̥" w:eastAsia="仿宋_GB2312"/>
          <w:color w:val="auto"/>
          <w:sz w:val="32"/>
          <w:szCs w:val="32"/>
        </w:rPr>
        <w:t>%。</w:t>
      </w:r>
    </w:p>
    <w:p w14:paraId="024EF5BE">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55ACD3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eastAsia" w:ascii="仿宋_GB2312" w:hAnsi="ˎ̥" w:eastAsia="仿宋_GB2312"/>
          <w:color w:val="auto"/>
          <w:sz w:val="32"/>
          <w:szCs w:val="32"/>
          <w:lang w:val="en-US" w:eastAsia="zh-CN"/>
        </w:rPr>
        <w:t>1804.73</w:t>
      </w:r>
      <w:r>
        <w:rPr>
          <w:rFonts w:hint="eastAsia" w:ascii="仿宋_GB2312" w:hAnsi="ˎ̥" w:eastAsia="仿宋_GB2312"/>
          <w:color w:val="auto"/>
          <w:sz w:val="32"/>
          <w:szCs w:val="32"/>
        </w:rPr>
        <w:t>万元，其中：基本支出</w:t>
      </w:r>
      <w:r>
        <w:rPr>
          <w:rFonts w:hint="eastAsia" w:ascii="仿宋_GB2312" w:hAnsi="ˎ̥" w:eastAsia="仿宋_GB2312"/>
          <w:color w:val="auto"/>
          <w:sz w:val="32"/>
          <w:szCs w:val="32"/>
          <w:lang w:val="en-US" w:eastAsia="zh-CN"/>
        </w:rPr>
        <w:t>123.37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6.8</w:t>
      </w:r>
      <w:r>
        <w:rPr>
          <w:rFonts w:hint="eastAsia" w:ascii="仿宋_GB2312" w:hAnsi="ˎ̥" w:eastAsia="仿宋_GB2312"/>
          <w:color w:val="auto"/>
          <w:sz w:val="32"/>
          <w:szCs w:val="32"/>
        </w:rPr>
        <w:t>%；项目支出</w:t>
      </w:r>
      <w:r>
        <w:rPr>
          <w:rFonts w:hint="eastAsia" w:ascii="仿宋_GB2312" w:hAnsi="ˎ̥" w:eastAsia="仿宋_GB2312"/>
          <w:color w:val="auto"/>
          <w:sz w:val="32"/>
          <w:szCs w:val="32"/>
          <w:lang w:val="en-US" w:eastAsia="zh-CN"/>
        </w:rPr>
        <w:t>1681.36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93.2</w:t>
      </w:r>
      <w:r>
        <w:rPr>
          <w:rFonts w:hint="eastAsia" w:ascii="仿宋_GB2312" w:hAnsi="ˎ̥" w:eastAsia="仿宋_GB2312"/>
          <w:color w:val="auto"/>
          <w:sz w:val="32"/>
          <w:szCs w:val="32"/>
        </w:rPr>
        <w:t>%。</w:t>
      </w:r>
    </w:p>
    <w:p w14:paraId="79C0AB0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2687D3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eastAsia" w:ascii="仿宋_GB2312" w:hAnsi="ˎ̥" w:eastAsia="仿宋_GB2312"/>
          <w:color w:val="auto"/>
          <w:sz w:val="32"/>
          <w:szCs w:val="32"/>
          <w:lang w:val="en-US" w:eastAsia="zh-CN"/>
        </w:rPr>
        <w:t>1631.31</w:t>
      </w:r>
      <w:r>
        <w:rPr>
          <w:rFonts w:hint="eastAsia" w:ascii="仿宋_GB2312" w:hAnsi="ˎ̥" w:eastAsia="仿宋_GB2312"/>
          <w:color w:val="auto"/>
          <w:sz w:val="32"/>
          <w:szCs w:val="32"/>
        </w:rPr>
        <w:t>万元，支出</w:t>
      </w:r>
      <w:r>
        <w:rPr>
          <w:rFonts w:hint="eastAsia" w:ascii="仿宋_GB2312" w:hAnsi="ˎ̥" w:eastAsia="仿宋_GB2312"/>
          <w:color w:val="auto"/>
          <w:sz w:val="32"/>
          <w:szCs w:val="32"/>
          <w:lang w:val="en-US" w:eastAsia="zh-CN"/>
        </w:rPr>
        <w:t>1631.31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w:t>
      </w:r>
      <w:r>
        <w:rPr>
          <w:rFonts w:hint="eastAsia" w:ascii="仿宋_GB2312" w:hAnsi="ˎ̥" w:eastAsia="仿宋_GB2312"/>
          <w:color w:val="auto"/>
          <w:sz w:val="32"/>
          <w:szCs w:val="32"/>
          <w:lang w:eastAsia="zh-CN"/>
        </w:rPr>
        <w:t>、支出</w:t>
      </w:r>
      <w:r>
        <w:rPr>
          <w:rFonts w:hint="eastAsia" w:ascii="仿宋_GB2312" w:hAnsi="ˎ̥" w:eastAsia="仿宋_GB2312"/>
          <w:color w:val="auto"/>
          <w:sz w:val="32"/>
          <w:szCs w:val="32"/>
        </w:rPr>
        <w:t xml:space="preserve">增加 </w:t>
      </w:r>
      <w:r>
        <w:rPr>
          <w:rFonts w:hint="eastAsia" w:ascii="仿宋_GB2312" w:hAnsi="ˎ̥" w:eastAsia="仿宋_GB2312"/>
          <w:color w:val="auto"/>
          <w:sz w:val="32"/>
          <w:szCs w:val="32"/>
          <w:lang w:val="en-US" w:eastAsia="zh-CN"/>
        </w:rPr>
        <w:t>691.8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73.6</w:t>
      </w:r>
      <w:r>
        <w:rPr>
          <w:rFonts w:hint="eastAsia" w:ascii="仿宋_GB2312" w:hAnsi="ˎ̥" w:eastAsia="仿宋_GB2312"/>
          <w:color w:val="auto"/>
          <w:sz w:val="32"/>
          <w:szCs w:val="32"/>
        </w:rPr>
        <w:t>%，</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中央衔接资金的增加</w:t>
      </w:r>
      <w:r>
        <w:rPr>
          <w:rFonts w:hint="eastAsia" w:ascii="仿宋_GB2312" w:hAnsi="ˎ̥" w:eastAsia="仿宋_GB2312"/>
          <w:color w:val="auto"/>
          <w:sz w:val="32"/>
          <w:szCs w:val="32"/>
          <w:highlight w:val="none"/>
        </w:rPr>
        <w:t>。</w:t>
      </w:r>
    </w:p>
    <w:p w14:paraId="4627DCD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rPr>
        <w:t>财政拨款年初结转结余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highlight w:val="none"/>
        </w:rPr>
        <w:t>主要是</w:t>
      </w:r>
      <w:r>
        <w:rPr>
          <w:rFonts w:hint="eastAsia" w:ascii="仿宋_GB2312" w:hAnsi="ˎ̥" w:eastAsia="仿宋_GB2312"/>
          <w:color w:val="auto"/>
          <w:sz w:val="32"/>
          <w:szCs w:val="32"/>
          <w:highlight w:val="none"/>
          <w:lang w:val="en-US" w:eastAsia="zh-CN"/>
        </w:rPr>
        <w:t>年底结余资金全部被财政收回</w:t>
      </w:r>
      <w:r>
        <w:rPr>
          <w:rFonts w:hint="eastAsia" w:ascii="仿宋_GB2312" w:hAnsi="ˎ̥" w:eastAsia="仿宋_GB2312"/>
          <w:color w:val="auto"/>
          <w:sz w:val="32"/>
          <w:szCs w:val="32"/>
          <w:highlight w:val="none"/>
        </w:rPr>
        <w:t>。</w:t>
      </w:r>
    </w:p>
    <w:p w14:paraId="5DD7E3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w:t>
      </w:r>
      <w:r>
        <w:rPr>
          <w:rFonts w:hint="eastAsia" w:ascii="仿宋_GB2312" w:hAnsi="ˎ̥" w:eastAsia="仿宋_GB2312"/>
          <w:color w:val="auto"/>
          <w:sz w:val="32"/>
          <w:szCs w:val="32"/>
        </w:rPr>
        <w:t>款年末</w:t>
      </w:r>
      <w:r>
        <w:rPr>
          <w:rFonts w:hint="eastAsia" w:ascii="仿宋_GB2312" w:hAnsi="ˎ̥" w:eastAsia="仿宋_GB2312"/>
          <w:color w:val="auto"/>
          <w:sz w:val="32"/>
          <w:szCs w:val="32"/>
          <w:highlight w:val="none"/>
        </w:rPr>
        <w:t>结转结余</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val="en-US" w:eastAsia="zh-CN"/>
        </w:rPr>
        <w:t>年底结余资金全部被财政收回</w:t>
      </w:r>
      <w:r>
        <w:rPr>
          <w:rFonts w:hint="eastAsia" w:ascii="仿宋_GB2312" w:hAnsi="ˎ̥" w:eastAsia="仿宋_GB2312"/>
          <w:color w:val="auto"/>
          <w:sz w:val="32"/>
          <w:szCs w:val="32"/>
          <w:highlight w:val="none"/>
        </w:rPr>
        <w:t>。</w:t>
      </w:r>
    </w:p>
    <w:p w14:paraId="5622EBC4">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14:paraId="3DC282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77" w:name="_Toc21737_WPSOffice_Level2"/>
      <w:bookmarkStart w:id="78" w:name="_Toc9989_WPSOffice_Level2"/>
      <w:bookmarkStart w:id="79" w:name="_Toc13694_WPSOffice_Level2"/>
      <w:bookmarkStart w:id="80" w:name="_Toc19665_WPSOffice_Level2"/>
      <w:bookmarkStart w:id="81" w:name="_Toc23005_WPSOffice_Level2"/>
      <w:bookmarkStart w:id="82" w:name="_Toc17398_WPSOffice_Level2"/>
      <w:r>
        <w:rPr>
          <w:rFonts w:hint="eastAsia" w:ascii="楷体" w:hAnsi="楷体" w:eastAsia="楷体" w:cs="楷体"/>
          <w:color w:val="auto"/>
          <w:sz w:val="32"/>
          <w:szCs w:val="32"/>
        </w:rPr>
        <w:t>（一）一般公共预算财政拨款支出决算总体情况</w:t>
      </w:r>
      <w:bookmarkEnd w:id="77"/>
      <w:bookmarkEnd w:id="78"/>
      <w:bookmarkEnd w:id="79"/>
      <w:bookmarkEnd w:id="80"/>
      <w:bookmarkEnd w:id="81"/>
      <w:bookmarkEnd w:id="82"/>
    </w:p>
    <w:p w14:paraId="568D587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yellow"/>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eastAsia" w:ascii="仿宋_GB2312" w:hAnsi="ˎ̥" w:eastAsia="仿宋_GB2312"/>
          <w:color w:val="auto"/>
          <w:sz w:val="32"/>
          <w:szCs w:val="32"/>
          <w:lang w:val="en-US" w:eastAsia="zh-CN"/>
        </w:rPr>
        <w:t>1631.31</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66.43</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年度相比，一般公共预算财政拨款支出增加</w:t>
      </w:r>
      <w:r>
        <w:rPr>
          <w:rFonts w:hint="eastAsia" w:ascii="仿宋_GB2312" w:hAnsi="ˎ̥" w:eastAsia="仿宋_GB2312"/>
          <w:color w:val="auto"/>
          <w:sz w:val="32"/>
          <w:szCs w:val="32"/>
          <w:lang w:val="en-US" w:eastAsia="zh-CN"/>
        </w:rPr>
        <w:t>691.8</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73</w:t>
      </w:r>
      <w:r>
        <w:rPr>
          <w:rFonts w:hint="eastAsia" w:ascii="仿宋_GB2312" w:hAnsi="ˎ̥" w:eastAsia="仿宋_GB2312"/>
          <w:color w:val="auto"/>
          <w:sz w:val="32"/>
          <w:szCs w:val="32"/>
          <w:highlight w:val="none"/>
          <w:lang w:val="en-US" w:eastAsia="zh-CN"/>
        </w:rPr>
        <w:t>.6</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中央财政衔接资金支出的增加</w:t>
      </w:r>
      <w:r>
        <w:rPr>
          <w:rFonts w:hint="eastAsia" w:ascii="仿宋_GB2312" w:hAnsi="ˎ̥" w:eastAsia="仿宋_GB2312"/>
          <w:color w:val="auto"/>
          <w:sz w:val="32"/>
          <w:szCs w:val="32"/>
          <w:highlight w:val="none"/>
        </w:rPr>
        <w:t>。</w:t>
      </w:r>
    </w:p>
    <w:p w14:paraId="5175B0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3" w:name="_Toc18793_WPSOffice_Level2"/>
      <w:bookmarkStart w:id="84" w:name="_Toc19075_WPSOffice_Level2"/>
      <w:bookmarkStart w:id="85" w:name="_Toc23864_WPSOffice_Level2"/>
      <w:bookmarkStart w:id="86" w:name="_Toc27767_WPSOffice_Level2"/>
      <w:bookmarkStart w:id="87" w:name="_Toc19535_WPSOffice_Level2"/>
      <w:bookmarkStart w:id="88" w:name="_Toc2711_WPSOffice_Level2"/>
      <w:r>
        <w:rPr>
          <w:rFonts w:hint="eastAsia" w:ascii="楷体" w:hAnsi="楷体" w:eastAsia="楷体" w:cs="楷体"/>
          <w:color w:val="auto"/>
          <w:sz w:val="32"/>
          <w:szCs w:val="32"/>
        </w:rPr>
        <w:t>（二）一般公共预算财政拨款支出决算结构情况</w:t>
      </w:r>
      <w:bookmarkEnd w:id="83"/>
      <w:bookmarkEnd w:id="84"/>
      <w:bookmarkEnd w:id="85"/>
      <w:bookmarkEnd w:id="86"/>
      <w:bookmarkEnd w:id="87"/>
      <w:bookmarkEnd w:id="88"/>
    </w:p>
    <w:p w14:paraId="2EDFE9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eastAsia" w:ascii="仿宋_GB2312" w:hAnsi="ˎ̥" w:eastAsia="仿宋_GB2312"/>
          <w:color w:val="auto"/>
          <w:sz w:val="32"/>
          <w:szCs w:val="32"/>
          <w:lang w:val="en-US" w:eastAsia="zh-CN"/>
        </w:rPr>
        <w:t>1631.31</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lang w:val="en-US" w:eastAsia="zh-CN"/>
        </w:rPr>
        <w:t>社会保障和就业</w:t>
      </w:r>
      <w:r>
        <w:rPr>
          <w:rFonts w:hint="eastAsia" w:ascii="仿宋_GB2312" w:hAnsi="ˎ̥" w:eastAsia="仿宋_GB2312"/>
          <w:b/>
          <w:color w:val="auto"/>
          <w:sz w:val="32"/>
          <w:szCs w:val="32"/>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16.74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1.02</w:t>
      </w:r>
      <w:r>
        <w:rPr>
          <w:rFonts w:hint="eastAsia" w:ascii="仿宋_GB2312" w:hAnsi="ˎ̥" w:eastAsia="仿宋_GB2312"/>
          <w:color w:val="auto"/>
          <w:sz w:val="32"/>
          <w:szCs w:val="32"/>
        </w:rPr>
        <w:t>%；</w:t>
      </w:r>
      <w:r>
        <w:rPr>
          <w:rFonts w:hint="eastAsia" w:ascii="仿宋_GB2312" w:hAnsi="ˎ̥" w:eastAsia="仿宋_GB2312"/>
          <w:b/>
          <w:color w:val="auto"/>
          <w:sz w:val="32"/>
          <w:szCs w:val="32"/>
          <w:lang w:val="en-US" w:eastAsia="zh-CN"/>
        </w:rPr>
        <w:t>卫生健康支出</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3.22万元，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0.2</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color w:val="auto"/>
          <w:sz w:val="32"/>
          <w:szCs w:val="32"/>
          <w:lang w:val="en-US" w:eastAsia="zh-CN"/>
        </w:rPr>
        <w:t>节能环保</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6.82万元，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0.42</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color w:val="auto"/>
          <w:sz w:val="32"/>
          <w:szCs w:val="32"/>
          <w:lang w:val="en-US" w:eastAsia="zh-CN"/>
        </w:rPr>
        <w:t>农林水</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1598.52</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97.99</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color w:val="auto"/>
          <w:sz w:val="32"/>
          <w:szCs w:val="32"/>
          <w:lang w:val="en-US" w:eastAsia="zh-CN"/>
        </w:rPr>
        <w:t>住房保障</w:t>
      </w:r>
      <w:r>
        <w:rPr>
          <w:rFonts w:hint="eastAsia" w:ascii="仿宋_GB2312" w:hAnsi="ˎ̥" w:eastAsia="仿宋_GB2312"/>
          <w:b/>
          <w:color w:val="auto"/>
          <w:sz w:val="32"/>
          <w:szCs w:val="32"/>
          <w:lang w:eastAsia="zh-CN"/>
        </w:rPr>
        <w:t>（类）</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6.01万元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0.37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3A1D96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bookmarkStart w:id="89" w:name="_Toc29364_WPSOffice_Level2"/>
      <w:bookmarkStart w:id="90" w:name="_Toc25136_WPSOffice_Level2"/>
      <w:bookmarkStart w:id="91" w:name="_Toc9502_WPSOffice_Level2"/>
      <w:bookmarkStart w:id="92" w:name="_Toc15415_WPSOffice_Level2"/>
      <w:bookmarkStart w:id="93" w:name="_Toc21701_WPSOffice_Level2"/>
      <w:bookmarkStart w:id="94" w:name="_Toc22318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14:paraId="6A4819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年度一般公共预算财政拨款支出年初预算为</w:t>
      </w:r>
      <w:r>
        <w:rPr>
          <w:rFonts w:hint="eastAsia" w:ascii="仿宋_GB2312" w:hAnsi="ˎ̥" w:eastAsia="仿宋_GB2312"/>
          <w:color w:val="auto"/>
          <w:sz w:val="32"/>
          <w:szCs w:val="32"/>
          <w:lang w:val="en-US" w:eastAsia="zh-CN"/>
        </w:rPr>
        <w:t>1317.92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1631.31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123.78</w:t>
      </w:r>
      <w:r>
        <w:rPr>
          <w:rFonts w:hint="eastAsia" w:ascii="仿宋_GB2312" w:hAnsi="ˎ̥" w:eastAsia="仿宋_GB2312"/>
          <w:color w:val="auto"/>
          <w:sz w:val="32"/>
          <w:szCs w:val="32"/>
        </w:rPr>
        <w:t>%。其中：</w:t>
      </w:r>
    </w:p>
    <w:p w14:paraId="3B3B4AF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rPr>
      </w:pPr>
      <w:r>
        <w:rPr>
          <w:rFonts w:hint="eastAsia" w:ascii="仿宋_GB2312" w:hAnsi="ˎ̥" w:eastAsia="仿宋_GB2312"/>
          <w:b/>
          <w:color w:val="auto"/>
          <w:sz w:val="32"/>
          <w:szCs w:val="32"/>
        </w:rPr>
        <w:t>1.</w:t>
      </w:r>
      <w:r>
        <w:rPr>
          <w:rFonts w:hint="eastAsia" w:ascii="仿宋_GB2312" w:hAnsi="ˎ̥" w:eastAsia="仿宋_GB2312"/>
          <w:b/>
          <w:color w:val="auto"/>
          <w:sz w:val="32"/>
          <w:szCs w:val="32"/>
          <w:lang w:val="en-US" w:eastAsia="zh-CN"/>
        </w:rPr>
        <w:t>社会保障和就业</w:t>
      </w:r>
      <w:r>
        <w:rPr>
          <w:rFonts w:hint="eastAsia" w:ascii="仿宋_GB2312" w:hAnsi="ˎ̥" w:eastAsia="仿宋_GB2312"/>
          <w:b/>
          <w:color w:val="auto"/>
          <w:sz w:val="32"/>
          <w:szCs w:val="32"/>
        </w:rPr>
        <w:t>（类）</w:t>
      </w:r>
      <w:r>
        <w:rPr>
          <w:rFonts w:hint="eastAsia" w:ascii="宋体" w:hAnsi="宋体" w:eastAsia="宋体" w:cs="宋体"/>
          <w:b/>
          <w:sz w:val="32"/>
          <w:szCs w:val="32"/>
        </w:rPr>
        <w:t>行政事业单位养老支出</w:t>
      </w:r>
      <w:r>
        <w:rPr>
          <w:rFonts w:hint="eastAsia" w:ascii="仿宋_GB2312" w:hAnsi="ˎ̥" w:eastAsia="仿宋_GB2312"/>
          <w:b/>
          <w:color w:val="auto"/>
          <w:sz w:val="32"/>
          <w:szCs w:val="32"/>
        </w:rPr>
        <w:t>（款）</w:t>
      </w:r>
      <w:r>
        <w:rPr>
          <w:rFonts w:hint="eastAsia" w:ascii="宋体" w:hAnsi="宋体" w:eastAsia="宋体" w:cs="宋体"/>
          <w:b/>
          <w:sz w:val="32"/>
          <w:szCs w:val="32"/>
        </w:rPr>
        <w:t>机关事业单位基本</w:t>
      </w:r>
      <w:r>
        <w:rPr>
          <w:rFonts w:hint="eastAsia" w:ascii="宋体" w:hAnsi="宋体" w:eastAsia="宋体" w:cs="宋体"/>
          <w:b/>
          <w:sz w:val="32"/>
          <w:szCs w:val="32"/>
          <w:highlight w:val="none"/>
        </w:rPr>
        <w:t>养老保险缴费</w:t>
      </w:r>
      <w:r>
        <w:rPr>
          <w:rFonts w:hint="eastAsia" w:ascii="宋体" w:hAnsi="宋体" w:eastAsia="宋体" w:cs="宋体"/>
          <w:b/>
          <w:sz w:val="32"/>
          <w:szCs w:val="32"/>
        </w:rPr>
        <w:t>支出</w:t>
      </w:r>
      <w:r>
        <w:rPr>
          <w:rFonts w:hint="eastAsia" w:ascii="仿宋_GB2312" w:hAnsi="ˎ̥" w:eastAsia="仿宋_GB2312"/>
          <w:b/>
          <w:color w:val="auto"/>
          <w:sz w:val="32"/>
          <w:szCs w:val="32"/>
        </w:rPr>
        <w:t>（项）。</w:t>
      </w:r>
    </w:p>
    <w:p w14:paraId="14B86FC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11.37</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7.46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65.61</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是</w:t>
      </w:r>
      <w:r>
        <w:rPr>
          <w:rFonts w:hint="eastAsia" w:ascii="宋体" w:hAnsi="宋体" w:eastAsia="宋体" w:cs="宋体"/>
          <w:kern w:val="0"/>
          <w:sz w:val="32"/>
          <w:szCs w:val="32"/>
        </w:rPr>
        <w:t>养老预算略高于实际支出</w:t>
      </w:r>
      <w:r>
        <w:rPr>
          <w:rFonts w:hint="eastAsia" w:ascii="仿宋_GB2312" w:hAnsi="ˎ̥" w:eastAsia="仿宋_GB2312"/>
          <w:color w:val="auto"/>
          <w:sz w:val="32"/>
          <w:szCs w:val="32"/>
        </w:rPr>
        <w:t>。</w:t>
      </w:r>
    </w:p>
    <w:p w14:paraId="438DF87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leftChars="0"/>
        <w:textAlignment w:val="auto"/>
        <w:rPr>
          <w:rFonts w:hint="eastAsia" w:ascii="仿宋_GB2312" w:hAnsi="ˎ̥" w:eastAsia="仿宋_GB2312"/>
          <w:b/>
          <w:color w:val="auto"/>
          <w:sz w:val="32"/>
          <w:szCs w:val="32"/>
          <w:lang w:eastAsia="zh-CN"/>
        </w:rPr>
      </w:pPr>
      <w:r>
        <w:rPr>
          <w:rFonts w:hint="eastAsia" w:ascii="仿宋_GB2312" w:hAnsi="ˎ̥" w:eastAsia="仿宋_GB2312"/>
          <w:b/>
          <w:color w:val="auto"/>
          <w:sz w:val="32"/>
          <w:szCs w:val="32"/>
          <w:lang w:val="en-US" w:eastAsia="zh-CN"/>
        </w:rPr>
        <w:t>2.社会保障和就业</w:t>
      </w:r>
      <w:r>
        <w:rPr>
          <w:rFonts w:hint="eastAsia" w:ascii="仿宋_GB2312" w:hAnsi="ˎ̥" w:eastAsia="仿宋_GB2312"/>
          <w:b/>
          <w:color w:val="auto"/>
          <w:sz w:val="32"/>
          <w:szCs w:val="32"/>
        </w:rPr>
        <w:t>（类）</w:t>
      </w:r>
      <w:r>
        <w:rPr>
          <w:rFonts w:hint="eastAsia" w:ascii="宋体" w:hAnsi="宋体" w:eastAsia="宋体" w:cs="宋体"/>
          <w:b/>
          <w:sz w:val="32"/>
          <w:szCs w:val="32"/>
        </w:rPr>
        <w:t>行政事业单位养老支出</w:t>
      </w:r>
      <w:r>
        <w:rPr>
          <w:rFonts w:hint="eastAsia" w:ascii="仿宋_GB2312" w:hAnsi="ˎ̥" w:eastAsia="仿宋_GB2312"/>
          <w:b/>
          <w:color w:val="auto"/>
          <w:sz w:val="32"/>
          <w:szCs w:val="32"/>
        </w:rPr>
        <w:t>（款）</w:t>
      </w:r>
      <w:r>
        <w:rPr>
          <w:rFonts w:hint="eastAsia" w:cs="宋体"/>
          <w:b/>
          <w:sz w:val="32"/>
          <w:szCs w:val="32"/>
          <w:lang w:val="en-US" w:eastAsia="zh-CN"/>
        </w:rPr>
        <w:t>事业单位离退休</w:t>
      </w:r>
      <w:r>
        <w:rPr>
          <w:rFonts w:hint="eastAsia" w:ascii="仿宋_GB2312" w:hAnsi="ˎ̥" w:eastAsia="仿宋_GB2312"/>
          <w:b/>
          <w:color w:val="auto"/>
          <w:sz w:val="32"/>
          <w:szCs w:val="32"/>
        </w:rPr>
        <w:t>（项）</w:t>
      </w:r>
      <w:r>
        <w:rPr>
          <w:rFonts w:hint="eastAsia" w:ascii="仿宋_GB2312" w:hAnsi="ˎ̥" w:eastAsia="仿宋_GB2312"/>
          <w:b/>
          <w:color w:val="auto"/>
          <w:sz w:val="32"/>
          <w:szCs w:val="32"/>
          <w:lang w:eastAsia="zh-CN"/>
        </w:rPr>
        <w:t>。</w:t>
      </w:r>
    </w:p>
    <w:p w14:paraId="2FAE0EC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5.56</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5.55</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宋体" w:hAnsi="宋体" w:eastAsia="宋体" w:cs="宋体"/>
          <w:sz w:val="32"/>
          <w:szCs w:val="32"/>
        </w:rPr>
        <w:t>完成年初预算的</w:t>
      </w:r>
      <w:r>
        <w:rPr>
          <w:rFonts w:hint="eastAsia" w:cs="宋体"/>
          <w:sz w:val="32"/>
          <w:szCs w:val="32"/>
          <w:lang w:val="en-US" w:eastAsia="zh-CN"/>
        </w:rPr>
        <w:t>99.84</w:t>
      </w:r>
      <w:r>
        <w:rPr>
          <w:rFonts w:hint="eastAsia" w:ascii="宋体" w:hAnsi="宋体" w:eastAsia="宋体" w:cs="宋体"/>
          <w:sz w:val="32"/>
          <w:szCs w:val="32"/>
        </w:rPr>
        <w:t>%</w:t>
      </w:r>
      <w:r>
        <w:rPr>
          <w:rFonts w:hint="eastAsia" w:ascii="宋体" w:hAnsi="宋体" w:cs="宋体"/>
          <w:sz w:val="32"/>
          <w:szCs w:val="32"/>
          <w:lang w:eastAsia="zh-CN"/>
        </w:rPr>
        <w:t>。</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小于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是</w:t>
      </w:r>
      <w:r>
        <w:rPr>
          <w:rFonts w:hint="eastAsia" w:ascii="仿宋_GB2312" w:hAnsi="ˎ̥" w:eastAsia="仿宋_GB2312"/>
          <w:color w:val="auto"/>
          <w:sz w:val="32"/>
          <w:szCs w:val="32"/>
          <w:lang w:val="en-US" w:eastAsia="zh-CN"/>
        </w:rPr>
        <w:t>离退休</w:t>
      </w:r>
      <w:r>
        <w:rPr>
          <w:rFonts w:hint="eastAsia" w:ascii="宋体" w:hAnsi="宋体" w:eastAsia="宋体" w:cs="宋体"/>
          <w:kern w:val="0"/>
          <w:sz w:val="32"/>
          <w:szCs w:val="32"/>
        </w:rPr>
        <w:t>略高于实际支出</w:t>
      </w:r>
      <w:r>
        <w:rPr>
          <w:rFonts w:hint="eastAsia" w:ascii="仿宋_GB2312" w:hAnsi="ˎ̥" w:eastAsia="仿宋_GB2312"/>
          <w:color w:val="auto"/>
          <w:sz w:val="32"/>
          <w:szCs w:val="32"/>
          <w:lang w:eastAsia="zh-CN"/>
        </w:rPr>
        <w:t>。</w:t>
      </w:r>
    </w:p>
    <w:p w14:paraId="50C73A1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3.社会保障和就业</w:t>
      </w:r>
      <w:r>
        <w:rPr>
          <w:rFonts w:hint="eastAsia" w:ascii="仿宋_GB2312" w:hAnsi="ˎ̥" w:eastAsia="仿宋_GB2312"/>
          <w:b/>
          <w:color w:val="auto"/>
          <w:sz w:val="32"/>
          <w:szCs w:val="32"/>
        </w:rPr>
        <w:t>（类）</w:t>
      </w:r>
      <w:r>
        <w:rPr>
          <w:rFonts w:hint="eastAsia" w:ascii="宋体" w:hAnsi="宋体" w:eastAsia="宋体" w:cs="宋体"/>
          <w:b/>
          <w:sz w:val="32"/>
          <w:szCs w:val="32"/>
        </w:rPr>
        <w:t>行政事业单位养老支出</w:t>
      </w:r>
      <w:r>
        <w:rPr>
          <w:rFonts w:hint="eastAsia" w:ascii="仿宋_GB2312" w:hAnsi="ˎ̥" w:eastAsia="仿宋_GB2312"/>
          <w:b/>
          <w:color w:val="auto"/>
          <w:sz w:val="32"/>
          <w:szCs w:val="32"/>
          <w:lang w:val="en-US" w:eastAsia="zh-CN"/>
        </w:rPr>
        <w:t>（款）</w:t>
      </w:r>
      <w:r>
        <w:rPr>
          <w:rFonts w:hint="eastAsia" w:ascii="宋体" w:hAnsi="宋体" w:eastAsia="宋体" w:cs="宋体"/>
          <w:b/>
          <w:sz w:val="32"/>
          <w:szCs w:val="32"/>
        </w:rPr>
        <w:t>机关事业单位职业年金缴费支出</w:t>
      </w:r>
      <w:r>
        <w:rPr>
          <w:rFonts w:hint="eastAsia" w:ascii="仿宋_GB2312" w:hAnsi="ˎ̥" w:eastAsia="仿宋_GB2312"/>
          <w:b/>
          <w:color w:val="auto"/>
          <w:sz w:val="32"/>
          <w:szCs w:val="32"/>
          <w:lang w:val="en-US" w:eastAsia="zh-CN"/>
        </w:rPr>
        <w:t>（项）</w:t>
      </w:r>
    </w:p>
    <w:p w14:paraId="441292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5.69</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3.73</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65.57</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是</w:t>
      </w:r>
      <w:r>
        <w:rPr>
          <w:rFonts w:hint="eastAsia" w:ascii="宋体" w:hAnsi="宋体" w:eastAsia="宋体" w:cs="宋体"/>
          <w:kern w:val="0"/>
          <w:sz w:val="32"/>
          <w:szCs w:val="32"/>
        </w:rPr>
        <w:t>职业年金预算略高于实际支出</w:t>
      </w:r>
      <w:r>
        <w:rPr>
          <w:rFonts w:hint="eastAsia" w:ascii="仿宋_GB2312" w:hAnsi="ˎ̥" w:eastAsia="仿宋_GB2312"/>
          <w:color w:val="auto"/>
          <w:sz w:val="32"/>
          <w:szCs w:val="32"/>
        </w:rPr>
        <w:t>。</w:t>
      </w:r>
    </w:p>
    <w:p w14:paraId="229F562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4.</w:t>
      </w:r>
      <w:r>
        <w:rPr>
          <w:rFonts w:hint="eastAsia" w:ascii="宋体" w:hAnsi="宋体" w:eastAsia="宋体" w:cs="宋体"/>
          <w:b/>
          <w:sz w:val="32"/>
          <w:szCs w:val="32"/>
        </w:rPr>
        <w:t>卫生健康支出（类）行政事业单位医疗（款）事业单位医疗（项）</w:t>
      </w:r>
    </w:p>
    <w:p w14:paraId="32D6318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5.85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3.22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55.07</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小</w:t>
      </w:r>
      <w:r>
        <w:rPr>
          <w:rFonts w:hint="eastAsia" w:ascii="仿宋_GB2312" w:hAnsi="ˎ̥" w:eastAsia="仿宋_GB2312"/>
          <w:color w:val="auto"/>
          <w:sz w:val="32"/>
          <w:szCs w:val="32"/>
        </w:rPr>
        <w:t>于预算数的主要原因</w:t>
      </w:r>
      <w:r>
        <w:rPr>
          <w:rFonts w:hint="eastAsia" w:ascii="仿宋_GB2312" w:hAnsi="ˎ̥" w:eastAsia="仿宋_GB2312"/>
          <w:color w:val="auto"/>
          <w:sz w:val="32"/>
          <w:szCs w:val="32"/>
          <w:lang w:eastAsia="zh-CN"/>
        </w:rPr>
        <w:t>是</w:t>
      </w:r>
      <w:r>
        <w:rPr>
          <w:rFonts w:hint="eastAsia" w:ascii="宋体" w:hAnsi="宋体" w:eastAsia="宋体" w:cs="宋体"/>
          <w:kern w:val="0"/>
          <w:sz w:val="32"/>
          <w:szCs w:val="32"/>
          <w:lang w:val="en-US" w:eastAsia="zh-CN"/>
        </w:rPr>
        <w:t>单位医疗</w:t>
      </w:r>
      <w:r>
        <w:rPr>
          <w:rFonts w:hint="eastAsia" w:ascii="宋体" w:hAnsi="宋体" w:eastAsia="宋体" w:cs="宋体"/>
          <w:kern w:val="0"/>
          <w:sz w:val="32"/>
          <w:szCs w:val="32"/>
        </w:rPr>
        <w:t>预算略高于实际支出</w:t>
      </w:r>
      <w:r>
        <w:rPr>
          <w:rFonts w:hint="eastAsia" w:ascii="仿宋_GB2312" w:hAnsi="ˎ̥" w:eastAsia="仿宋_GB2312"/>
          <w:color w:val="auto"/>
          <w:sz w:val="32"/>
          <w:szCs w:val="32"/>
        </w:rPr>
        <w:t>。</w:t>
      </w:r>
    </w:p>
    <w:p w14:paraId="13DDF1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5.节能环保（类）森林保护修复（款）森林管护（项）</w:t>
      </w:r>
    </w:p>
    <w:p w14:paraId="5215C41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6.82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6.82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6A876D9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6.</w:t>
      </w:r>
      <w:r>
        <w:rPr>
          <w:rFonts w:hint="eastAsia" w:ascii="宋体" w:hAnsi="宋体" w:eastAsia="宋体" w:cs="宋体"/>
          <w:b/>
          <w:bCs/>
          <w:kern w:val="0"/>
          <w:sz w:val="32"/>
          <w:szCs w:val="32"/>
        </w:rPr>
        <w:t>农林水支出（类）林业和草原（款）事业机构（项）</w:t>
      </w:r>
    </w:p>
    <w:p w14:paraId="3EBC8D1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54.1</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55.21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102.05</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eastAsia="zh-CN"/>
        </w:rPr>
        <w:t>是</w:t>
      </w:r>
      <w:r>
        <w:rPr>
          <w:rFonts w:hint="eastAsia" w:ascii="宋体" w:hAnsi="宋体" w:eastAsia="宋体" w:cs="宋体"/>
          <w:kern w:val="0"/>
          <w:sz w:val="32"/>
          <w:szCs w:val="32"/>
        </w:rPr>
        <w:t>基本支出的增加</w:t>
      </w:r>
      <w:r>
        <w:rPr>
          <w:rFonts w:hint="eastAsia" w:ascii="仿宋_GB2312" w:hAnsi="ˎ̥" w:eastAsia="仿宋_GB2312"/>
          <w:color w:val="auto"/>
          <w:sz w:val="32"/>
          <w:szCs w:val="32"/>
        </w:rPr>
        <w:t>。</w:t>
      </w:r>
    </w:p>
    <w:p w14:paraId="0C3DD2B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7.</w:t>
      </w:r>
      <w:r>
        <w:rPr>
          <w:rFonts w:hint="eastAsia" w:ascii="宋体" w:hAnsi="宋体" w:eastAsia="宋体" w:cs="宋体"/>
          <w:b/>
          <w:bCs/>
          <w:kern w:val="0"/>
          <w:sz w:val="32"/>
          <w:szCs w:val="32"/>
        </w:rPr>
        <w:t>农林水支出（类）林业和草原（款）森林生态效益补偿（项）</w:t>
      </w:r>
    </w:p>
    <w:p w14:paraId="0D59824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263.53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256.77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97.43</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是</w:t>
      </w:r>
      <w:r>
        <w:rPr>
          <w:rFonts w:hint="eastAsia" w:ascii="宋体" w:hAnsi="宋体" w:eastAsia="宋体" w:cs="宋体"/>
          <w:kern w:val="0"/>
          <w:sz w:val="32"/>
          <w:szCs w:val="32"/>
        </w:rPr>
        <w:t>差旅费、培训费等有结余</w:t>
      </w:r>
      <w:r>
        <w:rPr>
          <w:rFonts w:hint="eastAsia" w:ascii="仿宋_GB2312" w:hAnsi="ˎ̥" w:eastAsia="仿宋_GB2312"/>
          <w:color w:val="auto"/>
          <w:sz w:val="32"/>
          <w:szCs w:val="32"/>
          <w:lang w:eastAsia="zh-CN"/>
        </w:rPr>
        <w:t>等</w:t>
      </w:r>
      <w:r>
        <w:rPr>
          <w:rFonts w:hint="eastAsia" w:ascii="仿宋_GB2312" w:hAnsi="ˎ̥" w:eastAsia="仿宋_GB2312"/>
          <w:color w:val="auto"/>
          <w:sz w:val="32"/>
          <w:szCs w:val="32"/>
        </w:rPr>
        <w:t>。</w:t>
      </w:r>
    </w:p>
    <w:p w14:paraId="1CF241A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宋体" w:hAnsi="宋体" w:eastAsia="宋体" w:cs="宋体"/>
          <w:b/>
          <w:bCs/>
          <w:kern w:val="0"/>
          <w:sz w:val="32"/>
          <w:szCs w:val="32"/>
          <w:lang w:val="en-US" w:eastAsia="zh-CN" w:bidi="ar-SA"/>
        </w:rPr>
      </w:pPr>
      <w:r>
        <w:rPr>
          <w:rFonts w:hint="eastAsia" w:ascii="仿宋_GB2312" w:hAnsi="ˎ̥" w:eastAsia="仿宋_GB2312"/>
          <w:b/>
          <w:color w:val="auto"/>
          <w:sz w:val="32"/>
          <w:szCs w:val="32"/>
          <w:lang w:val="en-US" w:eastAsia="zh-CN"/>
        </w:rPr>
        <w:t>8.</w:t>
      </w:r>
      <w:r>
        <w:rPr>
          <w:rFonts w:hint="eastAsia" w:ascii="宋体" w:hAnsi="宋体" w:eastAsia="宋体" w:cs="宋体"/>
          <w:b/>
          <w:bCs/>
          <w:kern w:val="0"/>
          <w:sz w:val="32"/>
          <w:szCs w:val="32"/>
          <w:lang w:val="en-US" w:eastAsia="zh-CN" w:bidi="ar-SA"/>
        </w:rPr>
        <w:t>农林水支出（类）林业和草原（款）林业草原防灾减灾（项）。</w:t>
      </w:r>
    </w:p>
    <w:p w14:paraId="392E7E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预算数为</w:t>
      </w:r>
      <w:r>
        <w:rPr>
          <w:rFonts w:hint="eastAsia" w:ascii="仿宋_GB2312" w:hAnsi="ˎ̥" w:eastAsia="仿宋_GB2312"/>
          <w:color w:val="auto"/>
          <w:sz w:val="32"/>
          <w:szCs w:val="32"/>
          <w:lang w:val="en-US" w:eastAsia="zh-CN"/>
        </w:rPr>
        <w:t>378.28</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372.68</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98.52</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项目资金结余</w:t>
      </w:r>
      <w:r>
        <w:rPr>
          <w:rFonts w:hint="eastAsia" w:ascii="仿宋_GB2312" w:hAnsi="ˎ̥" w:eastAsia="仿宋_GB2312"/>
          <w:color w:val="auto"/>
          <w:sz w:val="32"/>
          <w:szCs w:val="32"/>
        </w:rPr>
        <w:t>。</w:t>
      </w:r>
    </w:p>
    <w:p w14:paraId="61EC1AF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9.</w:t>
      </w:r>
      <w:r>
        <w:rPr>
          <w:rFonts w:hint="eastAsia" w:ascii="宋体" w:hAnsi="宋体" w:eastAsia="宋体" w:cs="宋体"/>
          <w:b/>
          <w:bCs/>
          <w:kern w:val="0"/>
          <w:sz w:val="32"/>
          <w:szCs w:val="32"/>
        </w:rPr>
        <w:t>农林水支出（类）</w:t>
      </w:r>
      <w:r>
        <w:rPr>
          <w:rFonts w:hint="eastAsia" w:cs="宋体"/>
          <w:b/>
          <w:bCs/>
          <w:kern w:val="0"/>
          <w:sz w:val="32"/>
          <w:szCs w:val="32"/>
          <w:lang w:val="en-US" w:eastAsia="zh-CN"/>
        </w:rPr>
        <w:t>巩固脱贫攻坚成果衔接乡村振兴</w:t>
      </w:r>
      <w:r>
        <w:rPr>
          <w:rFonts w:hint="eastAsia" w:ascii="宋体" w:hAnsi="宋体" w:eastAsia="宋体" w:cs="宋体"/>
          <w:b/>
          <w:bCs/>
          <w:kern w:val="0"/>
          <w:sz w:val="32"/>
          <w:szCs w:val="32"/>
        </w:rPr>
        <w:t>（款）</w:t>
      </w:r>
      <w:r>
        <w:rPr>
          <w:rFonts w:hint="eastAsia" w:cs="宋体"/>
          <w:b/>
          <w:bCs/>
          <w:kern w:val="0"/>
          <w:sz w:val="32"/>
          <w:szCs w:val="32"/>
          <w:lang w:val="en-US" w:eastAsia="zh-CN"/>
        </w:rPr>
        <w:t>生产发展</w:t>
      </w:r>
      <w:r>
        <w:rPr>
          <w:rFonts w:hint="eastAsia" w:ascii="宋体" w:hAnsi="宋体" w:eastAsia="宋体" w:cs="宋体"/>
          <w:b/>
          <w:bCs/>
          <w:kern w:val="0"/>
          <w:sz w:val="32"/>
          <w:szCs w:val="32"/>
        </w:rPr>
        <w:t>（项）</w:t>
      </w:r>
    </w:p>
    <w:p w14:paraId="56EDDA5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宋体" w:hAnsi="宋体" w:eastAsia="宋体" w:cs="宋体"/>
          <w:kern w:val="0"/>
          <w:sz w:val="32"/>
          <w:szCs w:val="32"/>
        </w:rPr>
        <w:t>预算数为</w:t>
      </w:r>
      <w:r>
        <w:rPr>
          <w:rFonts w:hint="eastAsia" w:cs="宋体"/>
          <w:kern w:val="0"/>
          <w:sz w:val="32"/>
          <w:szCs w:val="32"/>
          <w:lang w:val="en-US" w:eastAsia="zh-CN"/>
        </w:rPr>
        <w:t>958.21</w:t>
      </w:r>
      <w:r>
        <w:rPr>
          <w:rFonts w:hint="eastAsia" w:ascii="宋体" w:hAnsi="宋体" w:eastAsia="宋体" w:cs="宋体"/>
          <w:kern w:val="0"/>
          <w:sz w:val="32"/>
          <w:szCs w:val="32"/>
        </w:rPr>
        <w:t>万元，支出决算为</w:t>
      </w:r>
      <w:r>
        <w:rPr>
          <w:rFonts w:hint="eastAsia" w:cs="宋体"/>
          <w:kern w:val="0"/>
          <w:sz w:val="32"/>
          <w:szCs w:val="32"/>
          <w:lang w:val="en-US" w:eastAsia="zh-CN"/>
        </w:rPr>
        <w:t>913.85</w:t>
      </w:r>
      <w:r>
        <w:rPr>
          <w:rFonts w:hint="eastAsia" w:ascii="宋体" w:hAnsi="宋体" w:eastAsia="宋体" w:cs="宋体"/>
          <w:kern w:val="0"/>
          <w:sz w:val="32"/>
          <w:szCs w:val="32"/>
        </w:rPr>
        <w:t>万元，完成年初预算的</w:t>
      </w:r>
      <w:r>
        <w:rPr>
          <w:rFonts w:hint="eastAsia" w:cs="宋体"/>
          <w:kern w:val="0"/>
          <w:sz w:val="32"/>
          <w:szCs w:val="32"/>
          <w:lang w:val="en-US" w:eastAsia="zh-CN"/>
        </w:rPr>
        <w:t>95.37</w:t>
      </w:r>
      <w:r>
        <w:rPr>
          <w:rFonts w:hint="eastAsia" w:ascii="宋体" w:hAnsi="宋体" w:eastAsia="宋体" w:cs="宋体"/>
          <w:kern w:val="0"/>
          <w:sz w:val="32"/>
          <w:szCs w:val="32"/>
        </w:rPr>
        <w:t>%</w:t>
      </w:r>
      <w:r>
        <w:rPr>
          <w:rFonts w:hint="eastAsia" w:ascii="仿宋_GB2312" w:hAnsi="ˎ̥" w:eastAsia="仿宋_GB2312"/>
          <w:color w:val="auto"/>
          <w:sz w:val="32"/>
          <w:szCs w:val="32"/>
        </w:rPr>
        <w:t>。</w:t>
      </w:r>
    </w:p>
    <w:p w14:paraId="2E3AD4E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val="en-US" w:eastAsia="zh-CN"/>
        </w:rPr>
      </w:pPr>
      <w:r>
        <w:rPr>
          <w:rFonts w:hint="eastAsia" w:ascii="仿宋_GB2312" w:hAnsi="ˎ̥" w:eastAsia="仿宋_GB2312"/>
          <w:b/>
          <w:color w:val="auto"/>
          <w:sz w:val="32"/>
          <w:szCs w:val="32"/>
          <w:lang w:val="en-US" w:eastAsia="zh-CN"/>
        </w:rPr>
        <w:t>10.</w:t>
      </w:r>
      <w:r>
        <w:rPr>
          <w:rFonts w:hint="eastAsia" w:ascii="宋体" w:hAnsi="宋体" w:eastAsia="宋体" w:cs="宋体"/>
          <w:b/>
          <w:sz w:val="32"/>
          <w:szCs w:val="32"/>
        </w:rPr>
        <w:t>住房保障支出（类）住房改革支出（款）住房公积金（项）</w:t>
      </w:r>
    </w:p>
    <w:p w14:paraId="0ADBE16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6.79</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6.01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88.51</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是住房公积金</w:t>
      </w:r>
      <w:r>
        <w:rPr>
          <w:rFonts w:hint="eastAsia" w:ascii="宋体" w:hAnsi="宋体" w:eastAsia="宋体" w:cs="宋体"/>
          <w:kern w:val="0"/>
          <w:sz w:val="32"/>
          <w:szCs w:val="32"/>
        </w:rPr>
        <w:t>预算略高于实际支出</w:t>
      </w:r>
      <w:r>
        <w:rPr>
          <w:rFonts w:hint="eastAsia" w:ascii="仿宋_GB2312" w:hAnsi="ˎ̥" w:eastAsia="仿宋_GB2312"/>
          <w:color w:val="auto"/>
          <w:sz w:val="32"/>
          <w:szCs w:val="32"/>
        </w:rPr>
        <w:t>。</w:t>
      </w:r>
    </w:p>
    <w:p w14:paraId="2429FF83">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1661F14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eastAsia="zh-CN"/>
        </w:rPr>
        <w:t>81.19</w:t>
      </w:r>
      <w:r>
        <w:rPr>
          <w:rFonts w:hint="eastAsia" w:ascii="仿宋_GB2312" w:hAnsi="ˎ̥" w:eastAsia="仿宋_GB2312"/>
          <w:color w:val="auto"/>
          <w:sz w:val="32"/>
          <w:szCs w:val="32"/>
        </w:rPr>
        <w:t>万元，其中：人员经费</w:t>
      </w:r>
      <w:r>
        <w:rPr>
          <w:rFonts w:hint="eastAsia" w:ascii="仿宋_GB2312" w:hAnsi="ˎ̥" w:eastAsia="仿宋_GB2312"/>
          <w:color w:val="auto"/>
          <w:sz w:val="32"/>
          <w:szCs w:val="32"/>
          <w:lang w:val="en-US" w:eastAsia="zh-CN"/>
        </w:rPr>
        <w:t>80.02</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抚恤金、生活补助、救济费、奖励金、其他对个人和家庭的补助。公用经费</w:t>
      </w:r>
      <w:r>
        <w:rPr>
          <w:rFonts w:hint="eastAsia" w:ascii="仿宋_GB2312" w:hAnsi="ˎ̥" w:eastAsia="仿宋_GB2312"/>
          <w:color w:val="auto"/>
          <w:sz w:val="32"/>
          <w:szCs w:val="32"/>
          <w:lang w:val="en-US" w:eastAsia="zh-CN"/>
        </w:rPr>
        <w:t>1.17</w:t>
      </w:r>
      <w:r>
        <w:rPr>
          <w:rFonts w:hint="eastAsia" w:ascii="仿宋_GB2312" w:hAnsi="ˎ̥" w:eastAsia="仿宋_GB2312"/>
          <w:color w:val="auto"/>
          <w:sz w:val="32"/>
          <w:szCs w:val="32"/>
        </w:rPr>
        <w:t>万元，主要包括：商品和服务支出中的办公费、印刷费、咨询费、手续费、水费、电费、邮电费、物业管理费、差旅费、因公出国（境）费用、维修（护）费、租赁费、会议费、培训费、公务接待费、专用材料费、被装购置费、专用燃料费、劳务费、委托业务费、工会经费、公务用车运行维护费、其他交通费用、税金及附加费用、其他商品和服务支出；资本性支出中的办公设备购置、专用设备购置、信息网络及软件购置更新等</w:t>
      </w:r>
      <w:r>
        <w:rPr>
          <w:rFonts w:hint="eastAsia" w:ascii="仿宋_GB2312" w:hAnsi="ˎ̥" w:eastAsia="仿宋_GB2312"/>
          <w:color w:val="auto"/>
          <w:sz w:val="32"/>
          <w:szCs w:val="32"/>
          <w:lang w:eastAsia="zh-CN"/>
        </w:rPr>
        <w:t>。</w:t>
      </w:r>
    </w:p>
    <w:p w14:paraId="3A190596">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7C7C06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5A7093A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无此项内容。</w:t>
      </w:r>
    </w:p>
    <w:p w14:paraId="391B21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3C5AF7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无此项内容</w:t>
      </w:r>
      <w:r>
        <w:rPr>
          <w:rFonts w:hint="eastAsia" w:ascii="仿宋_GB2312" w:hAnsi="仿宋_GB2312" w:eastAsia="仿宋_GB2312" w:cs="仿宋_GB2312"/>
          <w:color w:val="auto"/>
          <w:sz w:val="32"/>
          <w:szCs w:val="32"/>
          <w:lang w:eastAsia="zh-CN"/>
        </w:rPr>
        <w:t>。</w:t>
      </w:r>
    </w:p>
    <w:p w14:paraId="6DF2F3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2F574C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09E7814B">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5A0717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17C0DA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5E7AAD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3ED358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077E41D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11D4F4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无此项内容。</w:t>
      </w:r>
    </w:p>
    <w:p w14:paraId="36FD183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32D7FF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4AF59C1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eastAsia" w:ascii="仿宋_GB2312" w:hAnsi="仿宋_GB2312" w:eastAsia="仿宋_GB2312" w:cs="仿宋_GB2312"/>
          <w:color w:val="auto"/>
          <w:sz w:val="32"/>
          <w:szCs w:val="32"/>
          <w:lang w:val="en-US" w:eastAsia="zh-CN"/>
        </w:rPr>
        <w:t>无此项内容</w:t>
      </w:r>
      <w:r>
        <w:rPr>
          <w:rFonts w:hint="eastAsia" w:ascii="仿宋_GB2312" w:hAnsi="ˎ̥" w:eastAsia="仿宋_GB2312"/>
          <w:color w:val="auto"/>
          <w:sz w:val="32"/>
          <w:szCs w:val="32"/>
        </w:rPr>
        <w:t>。</w:t>
      </w:r>
    </w:p>
    <w:p w14:paraId="2C8DA05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138535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仿宋_GB2312" w:eastAsia="仿宋_GB2312" w:cs="仿宋_GB2312"/>
          <w:color w:val="auto"/>
          <w:sz w:val="32"/>
          <w:szCs w:val="32"/>
          <w:lang w:val="en-US" w:eastAsia="zh-CN"/>
        </w:rPr>
        <w:t>无此项内容</w:t>
      </w:r>
      <w:r>
        <w:rPr>
          <w:rFonts w:hint="eastAsia" w:ascii="仿宋_GB2312" w:hAnsi="ˎ̥" w:eastAsia="仿宋_GB2312"/>
          <w:color w:val="auto"/>
          <w:sz w:val="32"/>
          <w:szCs w:val="32"/>
        </w:rPr>
        <w:t>。</w:t>
      </w:r>
    </w:p>
    <w:p w14:paraId="411947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十、预算绩效情况说明</w:t>
      </w:r>
    </w:p>
    <w:p w14:paraId="34FA7D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yellow"/>
        </w:rPr>
      </w:pPr>
      <w:r>
        <w:rPr>
          <w:rFonts w:hint="eastAsia" w:ascii="楷体" w:hAnsi="楷体" w:eastAsia="楷体" w:cs="楷体"/>
          <w:bCs/>
          <w:color w:val="auto"/>
          <w:sz w:val="32"/>
          <w:szCs w:val="32"/>
        </w:rPr>
        <w:t>（一）</w:t>
      </w:r>
      <w:r>
        <w:rPr>
          <w:rFonts w:hint="eastAsia" w:ascii="楷体" w:hAnsi="楷体" w:eastAsia="楷体" w:cs="楷体"/>
          <w:bCs/>
          <w:color w:val="auto"/>
          <w:sz w:val="32"/>
          <w:szCs w:val="32"/>
          <w:highlight w:val="none"/>
        </w:rPr>
        <w:t>绩效管理工作开展情况</w:t>
      </w:r>
    </w:p>
    <w:p w14:paraId="2D2B49D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根据财政预算绩效管理要求，我</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共涉及资金1543.3万元，占一般公共预算项目支出总额的99.22%。</w:t>
      </w:r>
    </w:p>
    <w:p w14:paraId="1DB64B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共组织对“海南省岛东林场油茶优良品种标准化种植示范基地项目”1个项目开展了部门评价，涉及一般公共预算支出898.7万元。从评价情况来看，项目立项依据充分，程序规范，绩效目标设置合理明确，预算编制科学，资金使用合规，项目完成及时，质量较高。</w:t>
      </w:r>
    </w:p>
    <w:p w14:paraId="6DFECB56">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部门决算中项目绩效自评结果</w:t>
      </w:r>
    </w:p>
    <w:p w14:paraId="48663D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无此项内容。</w:t>
      </w:r>
    </w:p>
    <w:p w14:paraId="0EEB49E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部门评价结果</w:t>
      </w:r>
    </w:p>
    <w:p w14:paraId="499017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eastAsia="zh-CN"/>
        </w:rPr>
        <w:t>无此项内容</w:t>
      </w:r>
      <w:r>
        <w:rPr>
          <w:rFonts w:hint="eastAsia" w:ascii="仿宋_GB2312" w:hAnsi="仿宋_GB2312" w:eastAsia="仿宋_GB2312" w:cs="仿宋_GB2312"/>
          <w:color w:val="auto"/>
          <w:sz w:val="32"/>
          <w:szCs w:val="32"/>
          <w:lang w:val="en-US" w:eastAsia="zh-CN"/>
        </w:rPr>
        <w:t>。</w:t>
      </w:r>
    </w:p>
    <w:p w14:paraId="3C3C7E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w:t>
      </w:r>
    </w:p>
    <w:p w14:paraId="5408A8E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无此项内容。</w:t>
      </w:r>
    </w:p>
    <w:p w14:paraId="7CCB88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721D72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5" w:name="_Toc23598_WPSOffice_Level2"/>
      <w:bookmarkStart w:id="96" w:name="_Toc32639_WPSOffice_Level2"/>
      <w:bookmarkStart w:id="97" w:name="_Toc18325_WPSOffice_Level2"/>
      <w:bookmarkStart w:id="98" w:name="_Toc15565_WPSOffice_Level2"/>
      <w:bookmarkStart w:id="99" w:name="_Toc5978_WPSOffice_Level2"/>
      <w:bookmarkStart w:id="100" w:name="_Toc15262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14:paraId="613208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eastAsia="仿宋_GB2312"/>
          <w:color w:val="auto"/>
          <w:sz w:val="32"/>
          <w:szCs w:val="32"/>
          <w:lang w:eastAsia="zh-CN"/>
        </w:rPr>
        <w:t>无此项内容</w:t>
      </w:r>
      <w:r>
        <w:rPr>
          <w:rFonts w:hint="eastAsia" w:ascii="仿宋_GB2312" w:hAnsi="ˎ̥" w:eastAsia="仿宋_GB2312"/>
          <w:color w:val="auto"/>
          <w:sz w:val="32"/>
          <w:szCs w:val="32"/>
        </w:rPr>
        <w:t>。</w:t>
      </w:r>
    </w:p>
    <w:p w14:paraId="0FFE36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yellow"/>
        </w:rPr>
      </w:pPr>
      <w:bookmarkStart w:id="101" w:name="_Toc23966_WPSOffice_Level2"/>
      <w:bookmarkStart w:id="102" w:name="_Toc3131_WPSOffice_Level2"/>
      <w:bookmarkStart w:id="103" w:name="_Toc13084_WPSOffice_Level2"/>
      <w:bookmarkStart w:id="104" w:name="_Toc25333_WPSOffice_Level2"/>
      <w:bookmarkStart w:id="105" w:name="_Toc32689_WPSOffice_Level2"/>
      <w:bookmarkStart w:id="106" w:name="_Toc30383_WPSOffice_Level2"/>
      <w:r>
        <w:rPr>
          <w:rFonts w:hint="eastAsia" w:ascii="楷体" w:hAnsi="楷体" w:eastAsia="楷体" w:cs="楷体"/>
          <w:bCs/>
          <w:color w:val="auto"/>
          <w:sz w:val="32"/>
          <w:szCs w:val="32"/>
        </w:rPr>
        <w:t>（二</w:t>
      </w:r>
      <w:r>
        <w:rPr>
          <w:rFonts w:hint="eastAsia" w:ascii="楷体" w:hAnsi="楷体" w:eastAsia="楷体" w:cs="楷体"/>
          <w:bCs/>
          <w:color w:val="auto"/>
          <w:sz w:val="32"/>
          <w:szCs w:val="32"/>
          <w:highlight w:val="none"/>
        </w:rPr>
        <w:t>）政府采购支出情况</w:t>
      </w:r>
      <w:bookmarkEnd w:id="101"/>
      <w:bookmarkEnd w:id="102"/>
      <w:bookmarkEnd w:id="103"/>
      <w:bookmarkEnd w:id="104"/>
      <w:bookmarkEnd w:id="105"/>
      <w:bookmarkEnd w:id="106"/>
    </w:p>
    <w:p w14:paraId="177FAF7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海南省岛东林场</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1226.32</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，其中：政府采购货物支出</w:t>
      </w:r>
      <w:r>
        <w:rPr>
          <w:rFonts w:hint="eastAsia" w:ascii="仿宋_GB2312" w:hAnsi="ˎ̥" w:eastAsia="仿宋_GB2312"/>
          <w:color w:val="auto"/>
          <w:sz w:val="32"/>
          <w:szCs w:val="32"/>
          <w:lang w:val="en-US" w:eastAsia="zh-CN"/>
        </w:rPr>
        <w:t>337.21</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889.11</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1226.32</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1226.32</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ˎ̥" w:eastAsia="仿宋_GB2312"/>
          <w:color w:val="auto"/>
          <w:sz w:val="32"/>
          <w:szCs w:val="32"/>
        </w:rPr>
        <w:t>。</w:t>
      </w:r>
    </w:p>
    <w:p w14:paraId="1E3079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7" w:name="_Toc19989_WPSOffice_Level2"/>
      <w:bookmarkStart w:id="108" w:name="_Toc10902_WPSOffice_Level2"/>
      <w:bookmarkStart w:id="109" w:name="_Toc29584_WPSOffice_Level2"/>
      <w:bookmarkStart w:id="110" w:name="_Toc6016_WPSOffice_Level2"/>
      <w:bookmarkStart w:id="111" w:name="_Toc15129_WPSOffice_Level2"/>
      <w:bookmarkStart w:id="112" w:name="_Toc527_WPSOffice_Level2"/>
      <w:r>
        <w:rPr>
          <w:rFonts w:hint="eastAsia" w:ascii="楷体" w:hAnsi="楷体" w:eastAsia="楷体" w:cs="楷体"/>
          <w:bCs/>
          <w:color w:val="auto"/>
          <w:sz w:val="32"/>
          <w:szCs w:val="32"/>
        </w:rPr>
        <w:t>（</w:t>
      </w:r>
      <w:r>
        <w:rPr>
          <w:rFonts w:hint="eastAsia" w:ascii="楷体" w:hAnsi="楷体" w:eastAsia="楷体" w:cs="楷体"/>
          <w:bCs/>
          <w:color w:val="auto"/>
          <w:sz w:val="32"/>
          <w:szCs w:val="32"/>
          <w:highlight w:val="none"/>
        </w:rPr>
        <w:t>三）国有资产占用情况</w:t>
      </w:r>
      <w:bookmarkEnd w:id="107"/>
      <w:bookmarkEnd w:id="108"/>
      <w:bookmarkEnd w:id="109"/>
      <w:bookmarkEnd w:id="110"/>
      <w:bookmarkEnd w:id="111"/>
      <w:bookmarkEnd w:id="112"/>
    </w:p>
    <w:p w14:paraId="7A526CB6">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firstLine="640" w:firstLineChars="200"/>
        <w:textAlignment w:val="auto"/>
        <w:rPr>
          <w:rFonts w:hint="eastAsia" w:ascii="宋体" w:hAnsi="宋体" w:eastAsia="宋体" w:cs="宋体"/>
          <w:sz w:val="32"/>
          <w:szCs w:val="32"/>
          <w:shd w:val="clear" w:color="auto" w:fill="FFFFFF"/>
          <w:lang w:val="en-US"/>
        </w:rPr>
      </w:pPr>
      <w:r>
        <w:rPr>
          <w:rFonts w:hint="eastAsia" w:ascii="宋体" w:hAnsi="宋体" w:eastAsia="宋体" w:cs="宋体"/>
          <w:sz w:val="32"/>
          <w:szCs w:val="32"/>
          <w:shd w:val="clear" w:color="auto" w:fill="FFFFFF"/>
        </w:rPr>
        <w:t>截至</w:t>
      </w:r>
      <w:r>
        <w:rPr>
          <w:rFonts w:hint="eastAsia" w:ascii="宋体" w:hAnsi="宋体" w:eastAsia="宋体" w:cs="宋体"/>
          <w:sz w:val="32"/>
          <w:szCs w:val="32"/>
          <w:shd w:val="clear" w:color="auto" w:fill="FFFFFF"/>
          <w:lang w:val="en-US"/>
        </w:rPr>
        <w:t>202</w:t>
      </w:r>
      <w:r>
        <w:rPr>
          <w:rFonts w:hint="eastAsia" w:ascii="宋体" w:hAnsi="宋体" w:cs="宋体"/>
          <w:sz w:val="32"/>
          <w:szCs w:val="32"/>
          <w:shd w:val="clear" w:color="auto" w:fill="FFFFFF"/>
          <w:lang w:val="en-US" w:eastAsia="zh-CN"/>
        </w:rPr>
        <w:t>4</w:t>
      </w:r>
      <w:r>
        <w:rPr>
          <w:rFonts w:hint="eastAsia" w:ascii="宋体" w:hAnsi="宋体" w:eastAsia="宋体" w:cs="宋体"/>
          <w:sz w:val="32"/>
          <w:szCs w:val="32"/>
          <w:shd w:val="clear" w:color="auto" w:fill="FFFFFF"/>
        </w:rPr>
        <w:t>年</w:t>
      </w:r>
      <w:r>
        <w:rPr>
          <w:rFonts w:hint="eastAsia" w:ascii="宋体" w:hAnsi="宋体" w:eastAsia="宋体" w:cs="宋体"/>
          <w:sz w:val="32"/>
          <w:szCs w:val="32"/>
          <w:shd w:val="clear" w:color="auto" w:fill="FFFFFF"/>
          <w:lang w:val="en-US"/>
        </w:rPr>
        <w:t>12</w:t>
      </w:r>
      <w:r>
        <w:rPr>
          <w:rFonts w:hint="eastAsia" w:ascii="宋体" w:hAnsi="宋体" w:eastAsia="宋体" w:cs="宋体"/>
          <w:sz w:val="32"/>
          <w:szCs w:val="32"/>
          <w:shd w:val="clear" w:color="auto" w:fill="FFFFFF"/>
        </w:rPr>
        <w:t>月</w:t>
      </w:r>
      <w:r>
        <w:rPr>
          <w:rFonts w:hint="eastAsia" w:ascii="宋体" w:hAnsi="宋体" w:eastAsia="宋体" w:cs="宋体"/>
          <w:sz w:val="32"/>
          <w:szCs w:val="32"/>
          <w:shd w:val="clear" w:color="auto" w:fill="FFFFFF"/>
          <w:lang w:val="en-US"/>
        </w:rPr>
        <w:t>31</w:t>
      </w:r>
      <w:r>
        <w:rPr>
          <w:rFonts w:hint="eastAsia" w:ascii="宋体" w:hAnsi="宋体" w:eastAsia="宋体" w:cs="宋体"/>
          <w:sz w:val="32"/>
          <w:szCs w:val="32"/>
          <w:shd w:val="clear" w:color="auto" w:fill="FFFFFF"/>
        </w:rPr>
        <w:t>日，本部门占用房屋面积</w:t>
      </w:r>
      <w:r>
        <w:rPr>
          <w:rFonts w:hint="eastAsia" w:ascii="宋体" w:hAnsi="宋体" w:eastAsia="宋体" w:cs="宋体"/>
          <w:sz w:val="32"/>
          <w:szCs w:val="32"/>
          <w:shd w:val="clear" w:color="auto" w:fill="FFFFFF"/>
          <w:lang w:val="en-US" w:eastAsia="zh-CN"/>
        </w:rPr>
        <w:t>175</w:t>
      </w:r>
      <w:r>
        <w:rPr>
          <w:rFonts w:hint="eastAsia" w:ascii="宋体" w:hAnsi="宋体" w:eastAsia="宋体" w:cs="宋体"/>
          <w:sz w:val="32"/>
          <w:szCs w:val="32"/>
          <w:shd w:val="clear" w:color="auto" w:fill="FFFFFF"/>
        </w:rPr>
        <w:t>平方米，其中：办公用房</w:t>
      </w:r>
      <w:r>
        <w:rPr>
          <w:rFonts w:hint="eastAsia" w:ascii="宋体" w:hAnsi="宋体" w:eastAsia="宋体" w:cs="宋体"/>
          <w:sz w:val="32"/>
          <w:szCs w:val="32"/>
          <w:shd w:val="clear" w:color="auto" w:fill="FFFFFF"/>
          <w:lang w:val="en-US" w:eastAsia="zh-CN"/>
        </w:rPr>
        <w:t>175</w:t>
      </w:r>
      <w:r>
        <w:rPr>
          <w:rFonts w:hint="eastAsia" w:ascii="宋体" w:hAnsi="宋体" w:eastAsia="宋体" w:cs="宋体"/>
          <w:sz w:val="32"/>
          <w:szCs w:val="32"/>
          <w:shd w:val="clear" w:color="auto" w:fill="FFFFFF"/>
        </w:rPr>
        <w:t>平方米，业务用房</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平方米，其他（不含构筑物）</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平方米。</w:t>
      </w:r>
      <w:r>
        <w:rPr>
          <w:rFonts w:hint="eastAsia" w:ascii="宋体" w:hAnsi="宋体" w:eastAsia="宋体" w:cs="宋体"/>
          <w:kern w:val="0"/>
          <w:sz w:val="32"/>
          <w:szCs w:val="32"/>
        </w:rPr>
        <w:t>（借用岛东森林发展有限公司办公楼一起办公）</w:t>
      </w:r>
    </w:p>
    <w:p w14:paraId="0975705E">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宋体" w:hAnsi="宋体" w:eastAsia="宋体" w:cs="宋体"/>
          <w:sz w:val="32"/>
          <w:szCs w:val="32"/>
          <w:shd w:val="clear" w:color="auto" w:fill="FFFFFF"/>
          <w:lang w:val="en-US"/>
        </w:rPr>
      </w:pPr>
      <w:r>
        <w:rPr>
          <w:rFonts w:hint="eastAsia" w:ascii="宋体" w:hAnsi="宋体" w:eastAsia="宋体" w:cs="宋体"/>
          <w:sz w:val="32"/>
          <w:szCs w:val="32"/>
          <w:shd w:val="clear" w:color="auto" w:fill="FFFFFF"/>
        </w:rPr>
        <w:t>本部门共有车辆</w:t>
      </w:r>
      <w:r>
        <w:rPr>
          <w:rFonts w:hint="eastAsia" w:ascii="宋体" w:hAnsi="宋体" w:eastAsia="宋体" w:cs="宋体"/>
          <w:sz w:val="32"/>
          <w:szCs w:val="32"/>
          <w:shd w:val="clear" w:color="auto" w:fill="FFFFFF"/>
          <w:lang w:val="en-US" w:eastAsia="zh-CN"/>
        </w:rPr>
        <w:t>1</w:t>
      </w:r>
      <w:r>
        <w:rPr>
          <w:rFonts w:hint="eastAsia" w:ascii="宋体" w:hAnsi="宋体" w:eastAsia="宋体" w:cs="宋体"/>
          <w:sz w:val="32"/>
          <w:szCs w:val="32"/>
          <w:shd w:val="clear" w:color="auto" w:fill="FFFFFF"/>
        </w:rPr>
        <w:t>辆，其中：从车辆种类说明：轿车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辆、越野车</w:t>
      </w:r>
      <w:r>
        <w:rPr>
          <w:rFonts w:hint="eastAsia" w:ascii="宋体" w:hAnsi="宋体" w:eastAsia="宋体" w:cs="宋体"/>
          <w:sz w:val="32"/>
          <w:szCs w:val="32"/>
          <w:shd w:val="clear" w:color="auto" w:fill="FFFFFF"/>
          <w:lang w:val="en-US" w:eastAsia="zh-CN"/>
        </w:rPr>
        <w:t>1</w:t>
      </w:r>
      <w:r>
        <w:rPr>
          <w:rFonts w:hint="eastAsia" w:ascii="宋体" w:hAnsi="宋体" w:eastAsia="宋体" w:cs="宋体"/>
          <w:sz w:val="32"/>
          <w:szCs w:val="32"/>
          <w:shd w:val="clear" w:color="auto" w:fill="FFFFFF"/>
        </w:rPr>
        <w:t>辆、小型载客汽车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辆、大中型载客汽车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辆、其他车型</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辆，其他车型主要是</w:t>
      </w:r>
      <w:r>
        <w:rPr>
          <w:rFonts w:hint="eastAsia" w:ascii="宋体" w:hAnsi="宋体" w:eastAsia="宋体" w:cs="宋体"/>
          <w:sz w:val="32"/>
          <w:szCs w:val="32"/>
          <w:shd w:val="clear" w:color="auto" w:fill="FFFFFF"/>
          <w:lang w:eastAsia="zh-CN"/>
        </w:rPr>
        <w:t>皮卡车</w:t>
      </w:r>
      <w:r>
        <w:rPr>
          <w:rFonts w:hint="eastAsia" w:ascii="宋体" w:hAnsi="宋体" w:eastAsia="宋体" w:cs="宋体"/>
          <w:sz w:val="32"/>
          <w:szCs w:val="32"/>
          <w:shd w:val="clear" w:color="auto" w:fill="FFFFFF"/>
        </w:rPr>
        <w:t>；从车辆使用情况说明：副部（省）级及以上领导用车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辆、主要领导干部用车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辆、机要通信用车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辆、应急保障用车</w:t>
      </w:r>
      <w:r>
        <w:rPr>
          <w:rFonts w:hint="eastAsia" w:ascii="宋体" w:hAnsi="宋体" w:eastAsia="宋体" w:cs="宋体"/>
          <w:sz w:val="32"/>
          <w:szCs w:val="32"/>
          <w:shd w:val="clear" w:color="auto" w:fill="FFFFFF"/>
          <w:lang w:val="en-US" w:eastAsia="zh-CN"/>
        </w:rPr>
        <w:t>1</w:t>
      </w:r>
      <w:r>
        <w:rPr>
          <w:rFonts w:hint="eastAsia" w:ascii="宋体" w:hAnsi="宋体" w:eastAsia="宋体" w:cs="宋体"/>
          <w:sz w:val="32"/>
          <w:szCs w:val="32"/>
          <w:shd w:val="clear" w:color="auto" w:fill="FFFFFF"/>
        </w:rPr>
        <w:t>辆、执法执勤用车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辆、特种专业技术用车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辆、离退休干部用车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辆、其他用车</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辆。</w:t>
      </w:r>
    </w:p>
    <w:p w14:paraId="7714975C">
      <w:pPr>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left="0" w:right="0" w:firstLine="640" w:firstLineChars="200"/>
        <w:jc w:val="left"/>
        <w:textAlignment w:val="auto"/>
        <w:rPr>
          <w:rFonts w:hint="eastAsia" w:ascii="宋体" w:hAnsi="宋体" w:eastAsia="宋体" w:cs="宋体"/>
          <w:sz w:val="32"/>
          <w:szCs w:val="32"/>
          <w:shd w:val="clear" w:color="auto" w:fill="FFFFFF"/>
          <w:lang w:val="en-US"/>
        </w:rPr>
      </w:pPr>
      <w:r>
        <w:rPr>
          <w:rFonts w:hint="eastAsia" w:ascii="宋体" w:hAnsi="宋体" w:eastAsia="宋体" w:cs="宋体"/>
          <w:sz w:val="32"/>
          <w:szCs w:val="32"/>
          <w:shd w:val="clear" w:color="auto" w:fill="FFFFFF"/>
        </w:rPr>
        <w:t>单位价值</w:t>
      </w:r>
      <w:r>
        <w:rPr>
          <w:rFonts w:hint="eastAsia" w:ascii="宋体" w:hAnsi="宋体" w:eastAsia="宋体" w:cs="宋体"/>
          <w:sz w:val="32"/>
          <w:szCs w:val="32"/>
          <w:shd w:val="clear" w:color="auto" w:fill="FFFFFF"/>
          <w:lang w:val="en-US"/>
        </w:rPr>
        <w:t>50</w:t>
      </w:r>
      <w:r>
        <w:rPr>
          <w:rFonts w:hint="eastAsia" w:ascii="宋体" w:hAnsi="宋体" w:eastAsia="宋体" w:cs="宋体"/>
          <w:sz w:val="32"/>
          <w:szCs w:val="32"/>
          <w:shd w:val="clear" w:color="auto" w:fill="FFFFFF"/>
        </w:rPr>
        <w:t>万元（含）以上通用设备</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台（套），单价</w:t>
      </w:r>
      <w:r>
        <w:rPr>
          <w:rFonts w:hint="eastAsia" w:ascii="宋体" w:hAnsi="宋体" w:eastAsia="宋体" w:cs="宋体"/>
          <w:sz w:val="32"/>
          <w:szCs w:val="32"/>
          <w:shd w:val="clear" w:color="auto" w:fill="FFFFFF"/>
          <w:lang w:val="en-US"/>
        </w:rPr>
        <w:t>100</w:t>
      </w:r>
      <w:r>
        <w:rPr>
          <w:rFonts w:hint="eastAsia" w:ascii="宋体" w:hAnsi="宋体" w:eastAsia="宋体" w:cs="宋体"/>
          <w:sz w:val="32"/>
          <w:szCs w:val="32"/>
          <w:shd w:val="clear" w:color="auto" w:fill="FFFFFF"/>
        </w:rPr>
        <w:t>万元（含）以上专用设备</w:t>
      </w:r>
      <w:r>
        <w:rPr>
          <w:rFonts w:hint="eastAsia" w:ascii="宋体" w:hAnsi="宋体" w:eastAsia="宋体" w:cs="宋体"/>
          <w:sz w:val="32"/>
          <w:szCs w:val="32"/>
          <w:shd w:val="clear" w:color="auto" w:fill="FFFFFF"/>
          <w:lang w:val="en-US" w:eastAsia="zh-CN"/>
        </w:rPr>
        <w:t>0</w:t>
      </w:r>
      <w:r>
        <w:rPr>
          <w:rFonts w:hint="eastAsia" w:ascii="宋体" w:hAnsi="宋体" w:eastAsia="宋体" w:cs="宋体"/>
          <w:sz w:val="32"/>
          <w:szCs w:val="32"/>
          <w:shd w:val="clear" w:color="auto" w:fill="FFFFFF"/>
        </w:rPr>
        <w:t>台（套）。</w:t>
      </w:r>
    </w:p>
    <w:p w14:paraId="4C56E434">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仿宋_GB2312" w:hAnsi="ˎ̥" w:eastAsia="仿宋_GB2312"/>
          <w:color w:val="auto"/>
          <w:sz w:val="32"/>
          <w:szCs w:val="32"/>
        </w:rPr>
      </w:pPr>
      <w:r>
        <w:rPr>
          <w:rFonts w:hint="eastAsia" w:ascii="宋体" w:hAnsi="宋体" w:eastAsia="宋体" w:cs="宋体"/>
          <w:color w:val="auto"/>
          <w:sz w:val="32"/>
          <w:szCs w:val="32"/>
          <w:shd w:val="clear" w:color="auto" w:fill="FFFFFF"/>
        </w:rPr>
        <w:t>年末在建工程</w:t>
      </w:r>
      <w:r>
        <w:rPr>
          <w:rFonts w:hint="eastAsia" w:cs="宋体"/>
          <w:color w:val="auto"/>
          <w:sz w:val="32"/>
          <w:szCs w:val="32"/>
          <w:shd w:val="clear" w:color="auto" w:fill="FFFFFF"/>
          <w:lang w:val="en-US" w:eastAsia="zh-CN"/>
        </w:rPr>
        <w:t>6298.97</w:t>
      </w:r>
      <w:r>
        <w:rPr>
          <w:rFonts w:hint="eastAsia" w:ascii="宋体" w:hAnsi="宋体" w:eastAsia="宋体" w:cs="宋体"/>
          <w:color w:val="auto"/>
          <w:sz w:val="32"/>
          <w:szCs w:val="32"/>
          <w:shd w:val="clear" w:color="auto" w:fill="FFFFFF"/>
        </w:rPr>
        <w:t>万元</w:t>
      </w:r>
      <w:r>
        <w:rPr>
          <w:rFonts w:hint="eastAsia" w:ascii="仿宋_GB2312" w:hAnsi="ˎ̥" w:eastAsia="仿宋_GB2312"/>
          <w:color w:val="auto"/>
          <w:sz w:val="32"/>
          <w:szCs w:val="32"/>
        </w:rPr>
        <w:t>。</w:t>
      </w:r>
    </w:p>
    <w:p w14:paraId="7949793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ˎ̥" w:eastAsia="黑体"/>
          <w:color w:val="auto"/>
          <w:sz w:val="32"/>
          <w:szCs w:val="32"/>
        </w:rPr>
      </w:pPr>
      <w:bookmarkStart w:id="119" w:name="_GoBack"/>
      <w:bookmarkEnd w:id="119"/>
      <w:bookmarkStart w:id="113" w:name="_Toc15425_WPSOffice_Level1"/>
      <w:bookmarkStart w:id="114" w:name="_Toc17580_WPSOffice_Level1"/>
      <w:bookmarkStart w:id="115" w:name="_Toc8808_WPSOffice_Level1"/>
      <w:bookmarkStart w:id="116" w:name="_Toc11039_WPSOffice_Level1"/>
      <w:bookmarkStart w:id="117" w:name="_Toc4398_WPSOffice_Level1"/>
      <w:bookmarkStart w:id="118" w:name="_Toc8874_WPSOffice_Level1"/>
    </w:p>
    <w:p w14:paraId="6E81FE0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t>第四部分  名词解释</w:t>
      </w:r>
      <w:bookmarkEnd w:id="113"/>
      <w:bookmarkEnd w:id="114"/>
      <w:bookmarkEnd w:id="115"/>
      <w:bookmarkEnd w:id="116"/>
      <w:bookmarkEnd w:id="117"/>
      <w:bookmarkEnd w:id="118"/>
    </w:p>
    <w:p w14:paraId="114088F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14:paraId="64427BF7">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14:paraId="24EDF49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14:paraId="7FA7DC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14:paraId="53004A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14:paraId="1F5C88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14:paraId="39AB70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14:paraId="41FDA1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14:paraId="5A2D511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14:paraId="0DAEC03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14:paraId="5E4068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59F6C9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14:paraId="32A81D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14:paraId="00A634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14:paraId="05DC9A7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33A4875A">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089B85A4">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9FD9">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5902378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F3BA">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4D6111B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FDFEEA20"/>
    <w:multiLevelType w:val="singleLevel"/>
    <w:tmpl w:val="FDFEEA20"/>
    <w:lvl w:ilvl="0" w:tentative="0">
      <w:start w:val="2"/>
      <w:numFmt w:val="chineseCounting"/>
      <w:suff w:val="nothing"/>
      <w:lvlText w:val="（%1）"/>
      <w:lvlJc w:val="left"/>
      <w:rPr>
        <w:rFonts w:hint="eastAsia"/>
      </w:rPr>
    </w:lvl>
  </w:abstractNum>
  <w:abstractNum w:abstractNumId="2">
    <w:nsid w:val="FF2B3CA8"/>
    <w:multiLevelType w:val="singleLevel"/>
    <w:tmpl w:val="FF2B3CA8"/>
    <w:lvl w:ilvl="0" w:tentative="0">
      <w:start w:val="1"/>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2112CF8"/>
    <w:rsid w:val="09201287"/>
    <w:rsid w:val="0FC80124"/>
    <w:rsid w:val="12F32903"/>
    <w:rsid w:val="136F98C7"/>
    <w:rsid w:val="17427E68"/>
    <w:rsid w:val="1755065F"/>
    <w:rsid w:val="18A80CC9"/>
    <w:rsid w:val="1AFC29C9"/>
    <w:rsid w:val="1CA52F2E"/>
    <w:rsid w:val="1D1C69B7"/>
    <w:rsid w:val="1D4A4126"/>
    <w:rsid w:val="1DE7D417"/>
    <w:rsid w:val="1E3630B9"/>
    <w:rsid w:val="1FFE92CD"/>
    <w:rsid w:val="22897485"/>
    <w:rsid w:val="26EEC2B5"/>
    <w:rsid w:val="270F7CD1"/>
    <w:rsid w:val="293163BA"/>
    <w:rsid w:val="29472309"/>
    <w:rsid w:val="2AE23BBE"/>
    <w:rsid w:val="2B406E77"/>
    <w:rsid w:val="2C2A0C43"/>
    <w:rsid w:val="2D1E73A5"/>
    <w:rsid w:val="32717154"/>
    <w:rsid w:val="33EB4E90"/>
    <w:rsid w:val="342B57EA"/>
    <w:rsid w:val="34A15238"/>
    <w:rsid w:val="34B63260"/>
    <w:rsid w:val="35A121A8"/>
    <w:rsid w:val="37FDA7E2"/>
    <w:rsid w:val="3A314D88"/>
    <w:rsid w:val="3A746883"/>
    <w:rsid w:val="3B794840"/>
    <w:rsid w:val="3C185DDB"/>
    <w:rsid w:val="3CA15DE9"/>
    <w:rsid w:val="3F6F5D69"/>
    <w:rsid w:val="3FE61EE5"/>
    <w:rsid w:val="406508EE"/>
    <w:rsid w:val="408D6263"/>
    <w:rsid w:val="41B40CEE"/>
    <w:rsid w:val="43922F70"/>
    <w:rsid w:val="47BFE802"/>
    <w:rsid w:val="47FD30B1"/>
    <w:rsid w:val="48317291"/>
    <w:rsid w:val="485F7024"/>
    <w:rsid w:val="48E70666"/>
    <w:rsid w:val="4C307A20"/>
    <w:rsid w:val="4C6877E5"/>
    <w:rsid w:val="4D6A468D"/>
    <w:rsid w:val="4EA86137"/>
    <w:rsid w:val="5133098D"/>
    <w:rsid w:val="53A00FB9"/>
    <w:rsid w:val="559863BE"/>
    <w:rsid w:val="56CA7FD0"/>
    <w:rsid w:val="57FA38D1"/>
    <w:rsid w:val="59FD70AC"/>
    <w:rsid w:val="5CAF138F"/>
    <w:rsid w:val="5D7FC3CC"/>
    <w:rsid w:val="5EBE5E7F"/>
    <w:rsid w:val="5F4B32D9"/>
    <w:rsid w:val="5F7D3333"/>
    <w:rsid w:val="60BB764C"/>
    <w:rsid w:val="61385890"/>
    <w:rsid w:val="65F78C0E"/>
    <w:rsid w:val="67FF6ECF"/>
    <w:rsid w:val="687436E1"/>
    <w:rsid w:val="690D42CF"/>
    <w:rsid w:val="6B3250DF"/>
    <w:rsid w:val="6C02191B"/>
    <w:rsid w:val="6DA45C50"/>
    <w:rsid w:val="6E984DC1"/>
    <w:rsid w:val="6E9A7825"/>
    <w:rsid w:val="6EED3DE8"/>
    <w:rsid w:val="6F670F9B"/>
    <w:rsid w:val="6F6E3C3B"/>
    <w:rsid w:val="6FB1948C"/>
    <w:rsid w:val="716026D3"/>
    <w:rsid w:val="722A3B42"/>
    <w:rsid w:val="724524C5"/>
    <w:rsid w:val="737450E0"/>
    <w:rsid w:val="74054476"/>
    <w:rsid w:val="742F38C4"/>
    <w:rsid w:val="74AB66DC"/>
    <w:rsid w:val="74B3A6C8"/>
    <w:rsid w:val="74C4154C"/>
    <w:rsid w:val="75956FFF"/>
    <w:rsid w:val="760BF0ED"/>
    <w:rsid w:val="76A61BE1"/>
    <w:rsid w:val="76DE4092"/>
    <w:rsid w:val="771C469C"/>
    <w:rsid w:val="77AA2D01"/>
    <w:rsid w:val="77CF2213"/>
    <w:rsid w:val="77FAB2D6"/>
    <w:rsid w:val="7AEC8C0E"/>
    <w:rsid w:val="7AFF1D4C"/>
    <w:rsid w:val="7C176AA6"/>
    <w:rsid w:val="7C746540"/>
    <w:rsid w:val="7CDE1DBD"/>
    <w:rsid w:val="7D943A85"/>
    <w:rsid w:val="7DB0448C"/>
    <w:rsid w:val="7DD60598"/>
    <w:rsid w:val="7E5F9AA4"/>
    <w:rsid w:val="7E8BAA46"/>
    <w:rsid w:val="7EFB4268"/>
    <w:rsid w:val="7FEF5361"/>
    <w:rsid w:val="7FFF7EEC"/>
    <w:rsid w:val="8FFC8888"/>
    <w:rsid w:val="A7F73C99"/>
    <w:rsid w:val="B25F69A9"/>
    <w:rsid w:val="BAE744C8"/>
    <w:rsid w:val="BFDDB990"/>
    <w:rsid w:val="BFFE3BF4"/>
    <w:rsid w:val="C33A6D18"/>
    <w:rsid w:val="DFEBDA37"/>
    <w:rsid w:val="DFFEC755"/>
    <w:rsid w:val="E7EB8210"/>
    <w:rsid w:val="EF6FCA1D"/>
    <w:rsid w:val="EFF3ED2A"/>
    <w:rsid w:val="EFF9EE23"/>
    <w:rsid w:val="EFFF57D6"/>
    <w:rsid w:val="F5FE41B7"/>
    <w:rsid w:val="F65EA510"/>
    <w:rsid w:val="F7DFD152"/>
    <w:rsid w:val="F95BE214"/>
    <w:rsid w:val="F9DE74E4"/>
    <w:rsid w:val="FB3BFF91"/>
    <w:rsid w:val="FB971015"/>
    <w:rsid w:val="FD33A2D0"/>
    <w:rsid w:val="FF37DA54"/>
    <w:rsid w:val="FF7FA20F"/>
    <w:rsid w:val="FFDFBBA4"/>
    <w:rsid w:val="FFF78DC0"/>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 w:type="paragraph" w:customStyle="1" w:styleId="18">
    <w:name w:val="msolistparagraph"/>
    <w:basedOn w:val="1"/>
    <w:qFormat/>
    <w:uiPriority w:val="0"/>
    <w:pPr>
      <w:ind w:firstLine="420" w:firstLineChars="200"/>
    </w:pPr>
    <w:rPr>
      <w:rFonts w:hint="eastAsia"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4881</Words>
  <Characters>5383</Characters>
  <Lines>67</Lines>
  <Paragraphs>18</Paragraphs>
  <TotalTime>10</TotalTime>
  <ScaleCrop>false</ScaleCrop>
  <LinksUpToDate>false</LinksUpToDate>
  <CharactersWithSpaces>5437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2024-07-25T11:26:00Z</dcterms:created>
  <dc:creator>uos</dc:creator>
  <cp:lastModifiedBy>小东东</cp:lastModifiedBy>
  <cp:lastPrinted>2025-09-08T07:43:00Z</cp:lastPrinted>
  <dcterms:modified xsi:type="dcterms:W3CDTF">2025-09-08T08:15:36Z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03AE7F14E2DC4BACB053764200FF950D_13</vt:lpwstr>
  </property>
  <property fmtid="{D5CDD505-2E9C-101B-9397-08002B2CF9AE}" pid="4" name="KSOTemplateDocerSaveRecord">
    <vt:lpwstr>eyJoZGlkIjoiNmQyMTUxNzA2ZTRmYzdkZTI4MTg3NDdlNzBkODkxNTkiLCJ1c2VySWQiOiI0MDA2MTY1MDAifQ==</vt:lpwstr>
  </property>
</Properties>
</file>