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eastAsia="zh-CN"/>
        </w:rPr>
        <w:t>海南省白马岭林场</w:t>
      </w:r>
    </w:p>
    <w:p>
      <w:pPr>
        <w:spacing w:line="578"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2024年度部门决算公开报告</w:t>
      </w:r>
    </w:p>
    <w:p>
      <w:pPr>
        <w:spacing w:line="578" w:lineRule="exact"/>
        <w:jc w:val="center"/>
        <w:rPr>
          <w:rFonts w:hint="eastAsia" w:ascii="黑体" w:hAnsi="ˎ̥" w:eastAsia="黑体"/>
          <w:b/>
          <w:color w:val="auto"/>
          <w:sz w:val="32"/>
          <w:szCs w:val="32"/>
        </w:rPr>
      </w:pPr>
    </w:p>
    <w:p>
      <w:pPr>
        <w:spacing w:line="578" w:lineRule="exact"/>
        <w:jc w:val="center"/>
        <w:rPr>
          <w:rFonts w:hint="eastAsia" w:ascii="黑体" w:hAnsi="黑体" w:eastAsia="黑体" w:cs="黑体"/>
          <w:color w:val="auto"/>
          <w:sz w:val="44"/>
          <w:szCs w:val="44"/>
        </w:rPr>
      </w:pPr>
      <w:bookmarkStart w:id="0" w:name="_Toc11440_WPSOffice_Type2"/>
      <w:r>
        <w:rPr>
          <w:rFonts w:hint="eastAsia" w:ascii="黑体" w:hAnsi="黑体" w:eastAsia="黑体" w:cs="黑体"/>
          <w:color w:val="auto"/>
          <w:sz w:val="44"/>
          <w:szCs w:val="44"/>
        </w:rPr>
        <w:t>目  录</w:t>
      </w:r>
    </w:p>
    <w:p>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_Toc1704_WPSOffice_Level1 </w:instrText>
      </w:r>
      <w:r>
        <w:rPr>
          <w:color w:val="auto"/>
          <w:sz w:val="32"/>
          <w:szCs w:val="32"/>
        </w:rPr>
        <w:fldChar w:fldCharType="separate"/>
      </w:r>
      <w:r>
        <w:rPr>
          <w:rFonts w:hint="eastAsia" w:ascii="黑体" w:hAnsi="ˎ̥" w:eastAsia="黑体"/>
          <w:color w:val="auto"/>
          <w:sz w:val="32"/>
          <w:szCs w:val="32"/>
        </w:rPr>
        <w:t>第一部分 基本情况</w:t>
      </w:r>
      <w:r>
        <w:rPr>
          <w:color w:val="auto"/>
          <w:sz w:val="32"/>
          <w:szCs w:val="32"/>
        </w:rPr>
        <w:tab/>
      </w:r>
      <w:r>
        <w:rPr>
          <w:color w:val="auto"/>
          <w:sz w:val="32"/>
          <w:szCs w:val="32"/>
        </w:rPr>
        <w:fldChar w:fldCharType="end"/>
      </w:r>
      <w:r>
        <w:rPr>
          <w:rFonts w:hint="eastAsia"/>
          <w:color w:val="auto"/>
          <w:sz w:val="32"/>
          <w:szCs w:val="32"/>
        </w:rPr>
        <w:t>2</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_Toc20274_WPSOffice_Level2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一、部门职责</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_Toc4833_WPSOffice_Level2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二、机构设置</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_Toc28253_WPSOffice_Level1 </w:instrText>
      </w:r>
      <w:r>
        <w:rPr>
          <w:color w:val="auto"/>
          <w:sz w:val="32"/>
          <w:szCs w:val="32"/>
        </w:rPr>
        <w:fldChar w:fldCharType="separate"/>
      </w: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年度部门决算公开表</w:t>
      </w:r>
      <w:r>
        <w:rPr>
          <w:color w:val="auto"/>
          <w:sz w:val="32"/>
          <w:szCs w:val="32"/>
        </w:rPr>
        <w:tab/>
      </w:r>
      <w:r>
        <w:rPr>
          <w:color w:val="auto"/>
          <w:sz w:val="32"/>
          <w:szCs w:val="32"/>
        </w:rPr>
        <w:fldChar w:fldCharType="end"/>
      </w:r>
      <w:r>
        <w:rPr>
          <w:rFonts w:hint="eastAsia"/>
          <w:color w:val="auto"/>
          <w:sz w:val="32"/>
          <w:szCs w:val="32"/>
        </w:rPr>
        <w:t>2</w:t>
      </w:r>
    </w:p>
    <w:p>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_Toc27590_WPSOffice_Level1 </w:instrText>
      </w:r>
      <w:r>
        <w:rPr>
          <w:color w:val="auto"/>
          <w:sz w:val="32"/>
          <w:szCs w:val="32"/>
        </w:rPr>
        <w:fldChar w:fldCharType="separate"/>
      </w:r>
      <w:r>
        <w:rPr>
          <w:rFonts w:hint="eastAsia" w:ascii="黑体" w:hAnsi="黑体" w:eastAsia="黑体" w:cs="黑体"/>
          <w:color w:val="auto"/>
          <w:sz w:val="32"/>
          <w:szCs w:val="32"/>
        </w:rPr>
        <w:t>第三部分</w:t>
      </w:r>
      <w:r>
        <w:rPr>
          <w:rFonts w:hint="eastAsia"/>
          <w:color w:val="auto"/>
          <w:sz w:val="32"/>
          <w:szCs w:val="32"/>
        </w:rPr>
        <w:t xml:space="preserve">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r>
        <w:rPr>
          <w:color w:val="auto"/>
          <w:sz w:val="32"/>
          <w:szCs w:val="32"/>
        </w:rPr>
        <w:tab/>
      </w:r>
      <w:r>
        <w:rPr>
          <w:color w:val="auto"/>
          <w:sz w:val="32"/>
          <w:szCs w:val="32"/>
        </w:rPr>
        <w:fldChar w:fldCharType="end"/>
      </w:r>
      <w:r>
        <w:rPr>
          <w:rFonts w:hint="eastAsia"/>
          <w:color w:val="auto"/>
          <w:sz w:val="32"/>
          <w:szCs w:val="32"/>
        </w:rPr>
        <w:t>3</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_Toc21737_WPSOffice_Level2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一、收入支出总体情况说明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3</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二、收入决算情况说明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三、支出决算情况说明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pPr>
        <w:pStyle w:val="16"/>
        <w:tabs>
          <w:tab w:val="right" w:leader="dot" w:pos="8306"/>
        </w:tabs>
        <w:spacing w:line="578" w:lineRule="exact"/>
        <w:ind w:leftChars="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四、财政拨款收入支出决算</w:t>
      </w:r>
      <w:r>
        <w:rPr>
          <w:rFonts w:hint="eastAsia" w:ascii="仿宋" w:hAnsi="仿宋" w:eastAsia="仿宋" w:cs="仿宋"/>
          <w:bCs/>
          <w:color w:val="auto"/>
          <w:sz w:val="32"/>
          <w:szCs w:val="32"/>
          <w:lang w:val="en-US" w:eastAsia="zh-CN"/>
        </w:rPr>
        <w:t>总体</w:t>
      </w:r>
      <w:r>
        <w:rPr>
          <w:rFonts w:hint="eastAsia" w:ascii="仿宋" w:hAnsi="仿宋" w:eastAsia="仿宋" w:cs="仿宋"/>
          <w:bCs/>
          <w:color w:val="auto"/>
          <w:sz w:val="32"/>
          <w:szCs w:val="32"/>
        </w:rPr>
        <w:t>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4</w:t>
      </w:r>
    </w:p>
    <w:p>
      <w:pPr>
        <w:pStyle w:val="16"/>
        <w:tabs>
          <w:tab w:val="right" w:leader="dot" w:pos="8306"/>
        </w:tabs>
        <w:spacing w:line="578" w:lineRule="exact"/>
        <w:ind w:leftChars="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五、一般公共预算财政拨款支出决算情况说明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5</w:t>
      </w:r>
    </w:p>
    <w:p>
      <w:pPr>
        <w:pStyle w:val="16"/>
        <w:tabs>
          <w:tab w:val="right" w:leader="dot" w:pos="8306"/>
        </w:tabs>
        <w:spacing w:line="578" w:lineRule="exact"/>
        <w:ind w:leftChars="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六、一般公共预算财政拨款基本支出决算情况说明</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8</w:t>
      </w:r>
    </w:p>
    <w:p>
      <w:pPr>
        <w:pStyle w:val="16"/>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政府性基金预算财政拨款支出决算情况说明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9</w:t>
      </w:r>
    </w:p>
    <w:p>
      <w:pPr>
        <w:pStyle w:val="16"/>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国有资本经营预算财政拨款支出决算情况说明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9</w:t>
      </w:r>
    </w:p>
    <w:p>
      <w:pPr>
        <w:pStyle w:val="16"/>
        <w:tabs>
          <w:tab w:val="right" w:leader="dot" w:pos="8306"/>
        </w:tabs>
        <w:spacing w:line="578" w:lineRule="exact"/>
        <w:ind w:leftChars="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九、财政拨款“三公”经费支出决算情况说明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9</w:t>
      </w:r>
    </w:p>
    <w:p>
      <w:pPr>
        <w:pStyle w:val="16"/>
        <w:tabs>
          <w:tab w:val="right" w:leader="dot" w:pos="8306"/>
        </w:tabs>
        <w:spacing w:line="578" w:lineRule="exact"/>
        <w:ind w:leftChars="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十、预算绩效情况说明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1</w:t>
      </w:r>
    </w:p>
    <w:p>
      <w:pPr>
        <w:pStyle w:val="16"/>
        <w:tabs>
          <w:tab w:val="right" w:leader="dot" w:pos="8306"/>
        </w:tabs>
        <w:spacing w:line="578" w:lineRule="exact"/>
        <w:ind w:leftChars="0"/>
        <w:rPr>
          <w:rFonts w:hint="default" w:ascii="仿宋" w:hAnsi="仿宋" w:eastAsia="仿宋" w:cs="仿宋"/>
          <w:color w:val="auto"/>
          <w:sz w:val="32"/>
          <w:szCs w:val="32"/>
          <w:lang w:val="en-US" w:eastAsia="zh-CN"/>
        </w:rPr>
      </w:pPr>
      <w:r>
        <w:rPr>
          <w:rFonts w:hint="eastAsia" w:ascii="仿宋" w:hAnsi="仿宋" w:eastAsia="仿宋" w:cs="仿宋"/>
          <w:bCs/>
          <w:color w:val="auto"/>
          <w:sz w:val="32"/>
          <w:szCs w:val="32"/>
        </w:rPr>
        <w:t>十一、其他重要事项情况说明</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12</w:t>
      </w:r>
    </w:p>
    <w:p>
      <w:pPr>
        <w:pStyle w:val="15"/>
        <w:tabs>
          <w:tab w:val="right" w:leader="dot" w:pos="8306"/>
        </w:tabs>
        <w:spacing w:line="578" w:lineRule="exact"/>
        <w:rPr>
          <w:rFonts w:hint="eastAsia" w:ascii="黑体" w:hAnsi="ˎ̥" w:eastAsia="宋体"/>
          <w:b/>
          <w:color w:val="auto"/>
          <w:sz w:val="32"/>
          <w:szCs w:val="32"/>
          <w:lang w:eastAsia="zh-CN"/>
        </w:rPr>
      </w:pPr>
      <w:r>
        <w:rPr>
          <w:color w:val="auto"/>
          <w:sz w:val="32"/>
          <w:szCs w:val="32"/>
        </w:rPr>
        <w:fldChar w:fldCharType="begin"/>
      </w:r>
      <w:r>
        <w:rPr>
          <w:color w:val="auto"/>
          <w:sz w:val="32"/>
          <w:szCs w:val="32"/>
        </w:rPr>
        <w:instrText xml:space="preserve"> HYPERLINK \l _Toc15425_WPSOffice_Level1 </w:instrText>
      </w:r>
      <w:r>
        <w:rPr>
          <w:color w:val="auto"/>
          <w:sz w:val="32"/>
          <w:szCs w:val="32"/>
        </w:rPr>
        <w:fldChar w:fldCharType="separate"/>
      </w:r>
      <w:r>
        <w:rPr>
          <w:rFonts w:hint="eastAsia" w:ascii="黑体" w:hAnsi="ˎ̥" w:eastAsia="黑体"/>
          <w:color w:val="auto"/>
          <w:sz w:val="32"/>
          <w:szCs w:val="32"/>
        </w:rPr>
        <w:t>第四部分  名词解释</w:t>
      </w:r>
      <w:r>
        <w:rPr>
          <w:color w:val="auto"/>
          <w:sz w:val="32"/>
          <w:szCs w:val="32"/>
        </w:rPr>
        <w:tab/>
      </w:r>
      <w:bookmarkStart w:id="1" w:name="_Toc15425_WPSOffice_Level1Page"/>
      <w:r>
        <w:rPr>
          <w:color w:val="auto"/>
          <w:sz w:val="32"/>
          <w:szCs w:val="32"/>
        </w:rPr>
        <w:t>1</w:t>
      </w:r>
      <w:bookmarkEnd w:id="1"/>
      <w:r>
        <w:rPr>
          <w:color w:val="auto"/>
          <w:sz w:val="32"/>
          <w:szCs w:val="32"/>
        </w:rPr>
        <w:fldChar w:fldCharType="end"/>
      </w:r>
      <w:bookmarkEnd w:id="0"/>
      <w:r>
        <w:rPr>
          <w:rFonts w:hint="eastAsia"/>
          <w:color w:val="auto"/>
          <w:sz w:val="32"/>
          <w:szCs w:val="32"/>
          <w:lang w:val="en-US" w:eastAsia="zh-CN"/>
        </w:rPr>
        <w:t>3</w:t>
      </w:r>
    </w:p>
    <w:p>
      <w:pPr>
        <w:spacing w:line="578" w:lineRule="exact"/>
        <w:jc w:val="both"/>
        <w:rPr>
          <w:rFonts w:hint="eastAsia" w:ascii="黑体" w:hAnsi="ˎ̥" w:eastAsia="黑体"/>
          <w:color w:val="auto"/>
          <w:sz w:val="32"/>
          <w:szCs w:val="32"/>
        </w:rPr>
      </w:pPr>
      <w:bookmarkStart w:id="2" w:name="_Toc22941_WPSOffice_Level1"/>
      <w:bookmarkStart w:id="3" w:name="_Toc1704_WPSOffice_Level1"/>
      <w:bookmarkStart w:id="4" w:name="_Toc10049_WPSOffice_Level1"/>
      <w:bookmarkStart w:id="5" w:name="_Toc32433_WPSOffice_Level1"/>
      <w:bookmarkStart w:id="6" w:name="_Toc10720_WPSOffice_Level1"/>
      <w:bookmarkStart w:id="7" w:name="_Toc23465_WPSOffice_Level1"/>
      <w:bookmarkStart w:id="8" w:name="_Toc24238_WPSOffice_Level2"/>
      <w:bookmarkStart w:id="9" w:name="_Toc14159_WPSOffice_Level2"/>
      <w:bookmarkStart w:id="10" w:name="_Toc26580_WPSOffice_Level2"/>
      <w:bookmarkStart w:id="11" w:name="_Toc20274_WPSOffice_Level2"/>
      <w:bookmarkStart w:id="12" w:name="_Toc32622_WPSOffice_Level2"/>
      <w:bookmarkStart w:id="13" w:name="_Toc20205_WPSOffice_Level2"/>
    </w:p>
    <w:p>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第一部分  </w:t>
      </w:r>
      <w:bookmarkEnd w:id="2"/>
      <w:bookmarkEnd w:id="3"/>
      <w:bookmarkEnd w:id="4"/>
      <w:bookmarkEnd w:id="5"/>
      <w:bookmarkEnd w:id="6"/>
      <w:bookmarkEnd w:id="7"/>
      <w:r>
        <w:rPr>
          <w:rFonts w:hint="eastAsia" w:ascii="黑体" w:hAnsi="ˎ̥" w:eastAsia="黑体"/>
          <w:color w:val="auto"/>
          <w:sz w:val="32"/>
          <w:szCs w:val="32"/>
        </w:rPr>
        <w:t>基本情况</w:t>
      </w:r>
    </w:p>
    <w:p>
      <w:pPr>
        <w:spacing w:line="578" w:lineRule="exact"/>
        <w:ind w:firstLine="640" w:firstLineChars="200"/>
        <w:rPr>
          <w:rFonts w:hint="eastAsia" w:ascii="楷体" w:hAnsi="楷体" w:eastAsia="楷体" w:cs="楷体"/>
          <w:color w:val="auto"/>
          <w:sz w:val="32"/>
          <w:szCs w:val="32"/>
        </w:rPr>
      </w:pPr>
    </w:p>
    <w:p>
      <w:pPr>
        <w:numPr>
          <w:ilvl w:val="0"/>
          <w:numId w:val="2"/>
        </w:num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部门</w:t>
      </w:r>
      <w:bookmarkEnd w:id="8"/>
      <w:r>
        <w:rPr>
          <w:rFonts w:hint="eastAsia" w:ascii="黑体" w:hAnsi="黑体" w:eastAsia="黑体" w:cs="黑体"/>
          <w:color w:val="auto"/>
          <w:sz w:val="32"/>
          <w:szCs w:val="32"/>
        </w:rPr>
        <w:t>职责</w:t>
      </w:r>
      <w:bookmarkEnd w:id="9"/>
      <w:bookmarkEnd w:id="10"/>
      <w:bookmarkEnd w:id="11"/>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海南省白马岭林场主要职责是负责拟定并组织实施林区中长期发展规划和年度计划，开展资源调查与监测、林业统计、林业资产核算和森林资源档案管理工作；承担森林资源培育任务，组织开展植树造林、封山育林工作，开展生态公益林建设和管理，提高森林质量等级和生态效益；承担森林资源保护、合理利用和生态监测任务，负责森林负责林场基础设施建设、森林防火及病虫害防治工作，为森林公安机关查处涉林案件提供支持配合；承办上级主管部门交办的其他工作。</w:t>
      </w:r>
    </w:p>
    <w:p>
      <w:pPr>
        <w:spacing w:line="578" w:lineRule="exact"/>
        <w:ind w:firstLine="640" w:firstLineChars="200"/>
        <w:rPr>
          <w:rFonts w:hint="eastAsia" w:ascii="黑体" w:hAnsi="黑体" w:eastAsia="黑体" w:cs="黑体"/>
          <w:color w:val="auto"/>
          <w:sz w:val="32"/>
          <w:szCs w:val="32"/>
        </w:rPr>
      </w:pPr>
      <w:bookmarkStart w:id="14" w:name="_Toc4833_WPSOffice_Level2"/>
      <w:bookmarkStart w:id="15" w:name="_Toc24474_WPSOffice_Level2"/>
      <w:bookmarkStart w:id="16" w:name="_Toc24059_WPSOffice_Level2"/>
      <w:bookmarkStart w:id="17" w:name="_Toc6572_WPSOffice_Level2"/>
      <w:bookmarkStart w:id="18" w:name="_Toc17796_WPSOffice_Level2"/>
      <w:r>
        <w:rPr>
          <w:rFonts w:hint="eastAsia" w:ascii="黑体" w:hAnsi="黑体" w:eastAsia="黑体" w:cs="黑体"/>
          <w:color w:val="auto"/>
          <w:sz w:val="32"/>
          <w:szCs w:val="32"/>
        </w:rPr>
        <w:t>二、机构设置</w:t>
      </w:r>
      <w:bookmarkEnd w:id="14"/>
      <w:bookmarkEnd w:id="15"/>
      <w:bookmarkEnd w:id="16"/>
      <w:bookmarkEnd w:id="17"/>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19" w:name="_Toc15521_WPSOffice_Level1"/>
      <w:bookmarkStart w:id="20" w:name="_Toc28253_WPSOffice_Level1"/>
      <w:bookmarkStart w:id="21" w:name="_Toc30451_WPSOffice_Level1"/>
      <w:bookmarkStart w:id="22" w:name="_Toc30690_WPSOffice_Level1"/>
      <w:bookmarkStart w:id="23" w:name="_Toc6234_WPSOffice_Level1"/>
      <w:bookmarkStart w:id="24" w:name="_Toc8164_WPSOffice_Level1"/>
      <w:bookmarkStart w:id="25" w:name="_Toc4029_WPSOffice_Level2"/>
      <w:bookmarkStart w:id="26" w:name="_Toc32695_WPSOffice_Level2"/>
      <w:bookmarkStart w:id="27" w:name="_Toc6211_WPSOffice_Level2"/>
      <w:bookmarkStart w:id="28" w:name="_Toc8867_WPSOffice_Level2"/>
      <w:bookmarkStart w:id="29" w:name="_Toc32472_WPSOffice_Level2"/>
      <w:bookmarkStart w:id="30" w:name="_Toc11518_WPSOffice_Level2"/>
      <w:r>
        <w:rPr>
          <w:rFonts w:hint="eastAsia" w:ascii="仿宋_GB2312" w:hAnsi="仿宋_GB2312" w:eastAsia="仿宋_GB2312" w:cs="仿宋_GB2312"/>
          <w:color w:val="auto"/>
          <w:sz w:val="32"/>
          <w:szCs w:val="32"/>
          <w:lang w:val="en-US" w:eastAsia="zh-CN"/>
        </w:rPr>
        <w:t>海南省白马岭林场是隶属于海南省林业局主管的公益二类事业单位，单位没有法定内设机构，成立海南省白马岭森林发展有限公司，公司下设综合部、资源部、经营发展部。</w:t>
      </w:r>
    </w:p>
    <w:p>
      <w:pPr>
        <w:spacing w:line="578" w:lineRule="exact"/>
        <w:jc w:val="center"/>
        <w:rPr>
          <w:rFonts w:hint="eastAsia" w:ascii="黑体" w:hAnsi="ˎ̥" w:eastAsia="黑体"/>
          <w:color w:val="auto"/>
          <w:sz w:val="32"/>
          <w:szCs w:val="32"/>
        </w:rPr>
      </w:pPr>
    </w:p>
    <w:p>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年度部门决算公开报表</w:t>
      </w:r>
      <w:bookmarkEnd w:id="19"/>
      <w:bookmarkEnd w:id="20"/>
      <w:bookmarkEnd w:id="21"/>
      <w:bookmarkEnd w:id="22"/>
      <w:bookmarkEnd w:id="23"/>
      <w:bookmarkEnd w:id="24"/>
    </w:p>
    <w:p>
      <w:pPr>
        <w:spacing w:line="578" w:lineRule="exact"/>
        <w:ind w:firstLine="645"/>
        <w:rPr>
          <w:rFonts w:hint="eastAsia" w:ascii="黑体" w:hAnsi="黑体" w:eastAsia="黑体" w:cs="黑体"/>
          <w:color w:val="auto"/>
          <w:sz w:val="32"/>
          <w:szCs w:val="32"/>
        </w:rPr>
      </w:pPr>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一、收入支出决算公开表</w:t>
      </w:r>
      <w:bookmarkEnd w:id="25"/>
      <w:bookmarkEnd w:id="26"/>
      <w:bookmarkEnd w:id="27"/>
      <w:bookmarkEnd w:id="28"/>
      <w:bookmarkEnd w:id="29"/>
      <w:bookmarkEnd w:id="30"/>
    </w:p>
    <w:p>
      <w:pPr>
        <w:spacing w:line="578" w:lineRule="exact"/>
        <w:ind w:firstLine="645"/>
        <w:rPr>
          <w:rFonts w:hint="eastAsia" w:ascii="黑体" w:hAnsi="黑体" w:eastAsia="黑体" w:cs="黑体"/>
          <w:color w:val="auto"/>
          <w:sz w:val="32"/>
          <w:szCs w:val="32"/>
        </w:rPr>
      </w:pPr>
      <w:bookmarkStart w:id="31" w:name="_Toc23139_WPSOffice_Level2"/>
      <w:bookmarkStart w:id="32" w:name="_Toc30334_WPSOffice_Level2"/>
      <w:bookmarkStart w:id="33" w:name="_Toc28622_WPSOffice_Level2"/>
      <w:bookmarkStart w:id="34" w:name="_Toc25608_WPSOffice_Level2"/>
      <w:bookmarkStart w:id="35" w:name="_Toc14349_WPSOffice_Level2"/>
      <w:bookmarkStart w:id="36" w:name="_Toc26621_WPSOffice_Level2"/>
      <w:r>
        <w:rPr>
          <w:rFonts w:hint="eastAsia" w:ascii="黑体" w:hAnsi="黑体" w:eastAsia="黑体" w:cs="黑体"/>
          <w:color w:val="auto"/>
          <w:sz w:val="32"/>
          <w:szCs w:val="32"/>
        </w:rPr>
        <w:t>二、收入决算公开表</w:t>
      </w:r>
      <w:bookmarkEnd w:id="31"/>
      <w:bookmarkEnd w:id="32"/>
      <w:bookmarkEnd w:id="33"/>
      <w:bookmarkEnd w:id="34"/>
      <w:bookmarkEnd w:id="35"/>
      <w:bookmarkEnd w:id="36"/>
      <w:bookmarkStart w:id="37" w:name="_Toc13854_WPSOffice_Level2"/>
      <w:bookmarkStart w:id="38" w:name="_Toc17626_WPSOffice_Level2"/>
      <w:bookmarkStart w:id="39" w:name="_Toc3262_WPSOffice_Level2"/>
      <w:bookmarkStart w:id="40" w:name="_Toc5489_WPSOffice_Level2"/>
      <w:bookmarkStart w:id="41" w:name="_Toc17858_WPSOffice_Level2"/>
      <w:bookmarkStart w:id="42" w:name="_Toc14658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三、支出决算公开表</w:t>
      </w:r>
      <w:bookmarkEnd w:id="37"/>
      <w:bookmarkEnd w:id="38"/>
      <w:bookmarkEnd w:id="39"/>
      <w:bookmarkEnd w:id="40"/>
      <w:bookmarkEnd w:id="41"/>
      <w:bookmarkEnd w:id="42"/>
      <w:bookmarkStart w:id="43" w:name="_Toc13701_WPSOffice_Level2"/>
      <w:bookmarkStart w:id="44" w:name="_Toc21415_WPSOffice_Level2"/>
      <w:bookmarkStart w:id="45" w:name="_Toc23493_WPSOffice_Level2"/>
      <w:bookmarkStart w:id="46" w:name="_Toc4265_WPSOffice_Level2"/>
      <w:bookmarkStart w:id="47" w:name="_Toc23591_WPSOffice_Level2"/>
      <w:bookmarkStart w:id="48" w:name="_Toc7988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四、财政拨款收入支出决算公开表</w:t>
      </w:r>
      <w:bookmarkEnd w:id="43"/>
      <w:bookmarkEnd w:id="44"/>
      <w:bookmarkEnd w:id="45"/>
      <w:bookmarkEnd w:id="46"/>
      <w:bookmarkEnd w:id="47"/>
      <w:bookmarkEnd w:id="48"/>
    </w:p>
    <w:p>
      <w:pPr>
        <w:spacing w:line="578" w:lineRule="exact"/>
        <w:ind w:firstLine="645"/>
        <w:rPr>
          <w:rFonts w:hint="eastAsia" w:ascii="黑体" w:hAnsi="黑体" w:eastAsia="黑体" w:cs="黑体"/>
          <w:color w:val="auto"/>
          <w:sz w:val="32"/>
          <w:szCs w:val="32"/>
        </w:rPr>
      </w:pPr>
      <w:bookmarkStart w:id="49" w:name="_Toc23829_WPSOffice_Level2"/>
      <w:bookmarkStart w:id="50" w:name="_Toc25166_WPSOffice_Level2"/>
      <w:bookmarkStart w:id="51" w:name="_Toc22783_WPSOffice_Level2"/>
      <w:bookmarkStart w:id="52" w:name="_Toc7879_WPSOffice_Level2"/>
      <w:bookmarkStart w:id="53" w:name="_Toc2158_WPSOffice_Level2"/>
      <w:bookmarkStart w:id="54" w:name="_Toc13516_WPSOffice_Level2"/>
      <w:r>
        <w:rPr>
          <w:rFonts w:hint="eastAsia" w:ascii="黑体" w:hAnsi="黑体" w:eastAsia="黑体" w:cs="黑体"/>
          <w:color w:val="auto"/>
          <w:sz w:val="32"/>
          <w:szCs w:val="32"/>
        </w:rPr>
        <w:t>五、一般公共预算财政拨款收入支出决算</w:t>
      </w:r>
      <w:bookmarkEnd w:id="49"/>
      <w:bookmarkEnd w:id="50"/>
      <w:bookmarkEnd w:id="51"/>
      <w:bookmarkEnd w:id="52"/>
      <w:r>
        <w:rPr>
          <w:rFonts w:hint="eastAsia" w:ascii="黑体" w:hAnsi="黑体" w:eastAsia="黑体" w:cs="黑体"/>
          <w:color w:val="auto"/>
          <w:sz w:val="32"/>
          <w:szCs w:val="32"/>
        </w:rPr>
        <w:t>公开表</w:t>
      </w:r>
      <w:bookmarkEnd w:id="53"/>
      <w:bookmarkEnd w:id="54"/>
      <w:bookmarkStart w:id="55" w:name="_Toc17283_WPSOffice_Level2"/>
      <w:bookmarkStart w:id="56" w:name="_Toc17833_WPSOffice_Level2"/>
      <w:bookmarkStart w:id="57" w:name="_Toc5343_WPSOffice_Level2"/>
      <w:bookmarkStart w:id="58" w:name="_Toc8373_WPSOffice_Level2"/>
      <w:bookmarkStart w:id="59" w:name="_Toc2632_WPSOffice_Level2"/>
      <w:bookmarkStart w:id="60" w:name="_Toc25362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color w:val="auto"/>
          <w:sz w:val="32"/>
          <w:szCs w:val="32"/>
        </w:rPr>
        <w:t>公开表</w:t>
      </w:r>
    </w:p>
    <w:p>
      <w:pPr>
        <w:spacing w:line="578" w:lineRule="exact"/>
        <w:ind w:left="1118" w:leftChars="304" w:hanging="480" w:hangingChars="150"/>
        <w:rPr>
          <w:rFonts w:hint="eastAsia" w:ascii="黑体" w:hAnsi="黑体" w:eastAsia="黑体" w:cs="黑体"/>
          <w:color w:val="auto"/>
          <w:sz w:val="32"/>
          <w:szCs w:val="32"/>
        </w:rPr>
      </w:pPr>
      <w:bookmarkStart w:id="61" w:name="_Toc13345_WPSOffice_Level2"/>
      <w:bookmarkStart w:id="62" w:name="_Toc6020_WPSOffice_Level2"/>
      <w:bookmarkStart w:id="63" w:name="_Toc1533_WPSOffice_Level2"/>
      <w:bookmarkStart w:id="64" w:name="_Toc21310_WPSOffice_Level2"/>
      <w:bookmarkStart w:id="65" w:name="_Toc11799_WPSOffice_Level2"/>
      <w:bookmarkStart w:id="66" w:name="_Toc5594_WPSOffice_Level2"/>
      <w:r>
        <w:rPr>
          <w:rFonts w:hint="eastAsia" w:ascii="黑体" w:hAnsi="黑体" w:eastAsia="黑体" w:cs="黑体"/>
          <w:color w:val="auto"/>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color w:val="auto"/>
          <w:sz w:val="32"/>
          <w:szCs w:val="32"/>
        </w:rPr>
        <w:t>公开表</w:t>
      </w:r>
    </w:p>
    <w:p>
      <w:pPr>
        <w:spacing w:line="578" w:lineRule="exact"/>
        <w:ind w:left="1118" w:leftChars="304" w:hanging="480" w:hangingChars="150"/>
        <w:rPr>
          <w:rFonts w:hint="eastAsia" w:ascii="黑体" w:hAnsi="黑体" w:eastAsia="黑体" w:cs="黑体"/>
          <w:color w:val="auto"/>
          <w:sz w:val="32"/>
          <w:szCs w:val="32"/>
        </w:rPr>
      </w:pPr>
      <w:r>
        <w:rPr>
          <w:rFonts w:hint="eastAsia" w:ascii="黑体" w:hAnsi="黑体" w:eastAsia="黑体" w:cs="黑体"/>
          <w:color w:val="auto"/>
          <w:sz w:val="32"/>
          <w:szCs w:val="32"/>
        </w:rPr>
        <w:t>八、国有资本经营预算财政拨款收入支出决算公开表</w:t>
      </w:r>
    </w:p>
    <w:p>
      <w:pPr>
        <w:spacing w:line="578" w:lineRule="exact"/>
        <w:ind w:firstLine="640"/>
        <w:rPr>
          <w:rFonts w:hint="eastAsia" w:ascii="黑体" w:hAnsi="黑体" w:eastAsia="黑体" w:cs="黑体"/>
          <w:color w:val="auto"/>
          <w:sz w:val="32"/>
          <w:szCs w:val="32"/>
        </w:rPr>
      </w:pPr>
      <w:bookmarkStart w:id="67" w:name="_Toc29886_WPSOffice_Level2"/>
      <w:bookmarkStart w:id="68" w:name="_Toc19961_WPSOffice_Level2"/>
      <w:bookmarkStart w:id="69" w:name="_Toc1820_WPSOffice_Level2"/>
      <w:bookmarkStart w:id="70" w:name="_Toc9377_WPSOffice_Level2"/>
      <w:r>
        <w:rPr>
          <w:rFonts w:hint="eastAsia" w:ascii="黑体" w:hAnsi="黑体" w:eastAsia="黑体" w:cs="黑体"/>
          <w:color w:val="auto"/>
          <w:sz w:val="32"/>
          <w:szCs w:val="32"/>
        </w:rPr>
        <w:t>九、财政拨款“三公”经费支出决算</w:t>
      </w:r>
      <w:bookmarkEnd w:id="67"/>
      <w:bookmarkEnd w:id="68"/>
      <w:bookmarkEnd w:id="69"/>
      <w:bookmarkEnd w:id="70"/>
      <w:r>
        <w:rPr>
          <w:rFonts w:hint="eastAsia" w:ascii="黑体" w:hAnsi="黑体" w:eastAsia="黑体" w:cs="黑体"/>
          <w:color w:val="auto"/>
          <w:sz w:val="32"/>
          <w:szCs w:val="32"/>
        </w:rPr>
        <w:t>公开表</w:t>
      </w:r>
    </w:p>
    <w:p>
      <w:pPr>
        <w:spacing w:line="578" w:lineRule="exact"/>
        <w:ind w:firstLine="640"/>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xml:space="preserve">以上报表见附件1。   </w:t>
      </w:r>
    </w:p>
    <w:p>
      <w:pPr>
        <w:spacing w:line="578" w:lineRule="exact"/>
        <w:rPr>
          <w:rFonts w:hint="eastAsia" w:ascii="黑体" w:hAnsi="黑体" w:eastAsia="黑体" w:cs="黑体"/>
          <w:color w:val="auto"/>
          <w:sz w:val="32"/>
          <w:szCs w:val="32"/>
        </w:rPr>
      </w:pPr>
    </w:p>
    <w:p>
      <w:pPr>
        <w:spacing w:line="578" w:lineRule="exact"/>
        <w:jc w:val="center"/>
        <w:rPr>
          <w:rFonts w:hint="eastAsia" w:ascii="黑体" w:hAnsi="ˎ̥" w:eastAsia="黑体"/>
          <w:color w:val="auto"/>
          <w:sz w:val="32"/>
          <w:szCs w:val="32"/>
        </w:rPr>
      </w:pPr>
      <w:bookmarkStart w:id="71" w:name="_Toc31264_WPSOffice_Level1"/>
      <w:bookmarkStart w:id="72" w:name="_Toc29683_WPSOffice_Level1"/>
      <w:bookmarkStart w:id="73" w:name="_Toc27590_WPSOffice_Level1"/>
      <w:bookmarkStart w:id="74" w:name="_Toc28629_WPSOffice_Level1"/>
      <w:bookmarkStart w:id="75" w:name="_Toc16686_WPSOffice_Level1"/>
      <w:bookmarkStart w:id="76" w:name="_Toc4402_WPSOffice_Level1"/>
      <w:r>
        <w:rPr>
          <w:rFonts w:hint="eastAsia" w:ascii="黑体" w:hAnsi="ˎ̥" w:eastAsia="黑体"/>
          <w:color w:val="auto"/>
          <w:sz w:val="32"/>
          <w:szCs w:val="32"/>
        </w:rPr>
        <w:t xml:space="preserve">第三部分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bookmarkEnd w:id="71"/>
      <w:bookmarkEnd w:id="72"/>
      <w:bookmarkEnd w:id="73"/>
      <w:bookmarkEnd w:id="74"/>
      <w:bookmarkEnd w:id="75"/>
      <w:bookmarkEnd w:id="76"/>
    </w:p>
    <w:p>
      <w:pPr>
        <w:spacing w:line="578" w:lineRule="exact"/>
        <w:jc w:val="center"/>
        <w:rPr>
          <w:rFonts w:hint="eastAsia" w:ascii="黑体" w:hAnsi="ˎ̥" w:eastAsia="黑体"/>
          <w:color w:val="auto"/>
          <w:sz w:val="32"/>
          <w:szCs w:val="32"/>
        </w:rPr>
      </w:pPr>
    </w:p>
    <w:p>
      <w:pPr>
        <w:ind w:firstLine="640" w:firstLineChars="200"/>
        <w:rPr>
          <w:rFonts w:hint="default" w:ascii="仿宋_GB2312" w:hAnsi="ˎ̥" w:eastAsia="仿宋_GB2312" w:cs="仿宋_GB2312"/>
          <w:color w:val="auto"/>
          <w:kern w:val="2"/>
          <w:sz w:val="32"/>
          <w:szCs w:val="32"/>
          <w:lang w:val="en-US" w:eastAsia="zh-CN" w:bidi="ar-SA"/>
        </w:rPr>
      </w:pPr>
      <w:r>
        <w:rPr>
          <w:rFonts w:hint="eastAsia" w:ascii="黑体" w:hAnsi="黑体" w:eastAsia="黑体" w:cs="黑体"/>
          <w:bCs/>
          <w:color w:val="auto"/>
          <w:sz w:val="32"/>
          <w:szCs w:val="32"/>
        </w:rPr>
        <w:t>一、收入支出总体情况说明</w:t>
      </w:r>
      <w:r>
        <w:rPr>
          <w:rFonts w:hint="eastAsia" w:ascii="黑体" w:hAnsi="黑体" w:eastAsia="黑体" w:cs="黑体"/>
          <w:bCs/>
          <w:color w:val="auto"/>
          <w:sz w:val="32"/>
          <w:szCs w:val="32"/>
        </w:rPr>
        <w:br w:type="textWrapping"/>
      </w:r>
      <w:r>
        <w:rPr>
          <w:rFonts w:hint="eastAsia" w:ascii="黑体" w:hAnsi="黑体" w:eastAsia="黑体" w:cs="黑体"/>
          <w:bCs/>
          <w:color w:val="auto"/>
          <w:sz w:val="32"/>
          <w:szCs w:val="32"/>
        </w:rPr>
        <w:t xml:space="preserve">    </w:t>
      </w:r>
      <w:r>
        <w:rPr>
          <w:rFonts w:hint="eastAsia" w:ascii="仿宋_GB2312" w:hAnsi="ˎ̥" w:eastAsia="仿宋_GB2312" w:cs="仿宋_GB2312"/>
          <w:color w:val="auto"/>
          <w:kern w:val="2"/>
          <w:sz w:val="32"/>
          <w:szCs w:val="32"/>
          <w:lang w:val="en-US" w:eastAsia="zh-CN" w:bidi="ar-SA"/>
        </w:rPr>
        <w:t>2024年度收入总计776.97万元，支出总计776.97万元。</w:t>
      </w:r>
      <w:r>
        <w:rPr>
          <w:rFonts w:hint="eastAsia" w:ascii="仿宋_GB2312" w:hAnsi="ˎ̥" w:eastAsia="仿宋_GB2312" w:cs="仿宋_GB2312"/>
          <w:color w:val="auto"/>
          <w:kern w:val="2"/>
          <w:sz w:val="32"/>
          <w:szCs w:val="32"/>
          <w:highlight w:val="none"/>
          <w:lang w:val="en-US" w:eastAsia="zh-CN" w:bidi="ar-SA"/>
        </w:rPr>
        <w:t>与2023年度相比（2023年度收入总计1202.98万元），收入支出总计减少426.01万元，减少35.41%。</w:t>
      </w:r>
      <w:r>
        <w:rPr>
          <w:rFonts w:hint="eastAsia" w:ascii="仿宋_GB2312" w:hAnsi="ˎ̥" w:eastAsia="仿宋_GB2312" w:cs="仿宋_GB2312"/>
          <w:color w:val="auto"/>
          <w:kern w:val="2"/>
          <w:sz w:val="32"/>
          <w:szCs w:val="32"/>
          <w:lang w:val="en-US" w:eastAsia="zh-CN" w:bidi="ar-SA"/>
        </w:rPr>
        <w:t>主要原因是2024年产业发展减少了284.35万元，其他一般公共预算减少141.66万元。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（一）收入总计主要构成。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ˎ̥" w:eastAsia="仿宋_GB2312" w:cs="仿宋_GB2312"/>
          <w:color w:val="auto"/>
          <w:kern w:val="2"/>
          <w:sz w:val="32"/>
          <w:szCs w:val="32"/>
          <w:lang w:val="en-US" w:eastAsia="zh-CN" w:bidi="ar-SA"/>
        </w:rPr>
      </w:pPr>
      <w:r>
        <w:rPr>
          <w:rFonts w:hint="eastAsia" w:ascii="仿宋_GB2312" w:hAnsi="ˎ̥" w:eastAsia="仿宋_GB2312" w:cs="仿宋_GB2312"/>
          <w:color w:val="auto"/>
          <w:kern w:val="2"/>
          <w:sz w:val="32"/>
          <w:szCs w:val="32"/>
          <w:lang w:val="en-US" w:eastAsia="zh-CN" w:bidi="ar-SA"/>
        </w:rPr>
        <w:t>本年收入776.97万元。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ˎ̥" w:eastAsia="仿宋_GB2312" w:cs="仿宋_GB2312"/>
          <w:color w:val="auto"/>
          <w:kern w:val="2"/>
          <w:sz w:val="32"/>
          <w:szCs w:val="32"/>
          <w:lang w:val="en-US" w:eastAsia="zh-CN" w:bidi="ar-SA"/>
        </w:rPr>
      </w:pPr>
      <w:r>
        <w:rPr>
          <w:rFonts w:hint="eastAsia" w:ascii="仿宋_GB2312" w:hAnsi="ˎ̥" w:eastAsia="仿宋_GB2312" w:cs="仿宋_GB2312"/>
          <w:color w:val="auto"/>
          <w:kern w:val="2"/>
          <w:sz w:val="32"/>
          <w:szCs w:val="32"/>
          <w:lang w:val="en-US" w:eastAsia="zh-CN" w:bidi="ar-SA"/>
        </w:rPr>
        <w:t>使用非财政拨款结余0万元，较2023年度决算数增加（减少）0万元，主要原因是我单位无非财政拨款结余款项。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ˎ̥" w:eastAsia="仿宋_GB2312" w:cs="仿宋_GB2312"/>
          <w:color w:val="auto"/>
          <w:kern w:val="2"/>
          <w:sz w:val="32"/>
          <w:szCs w:val="32"/>
          <w:lang w:val="en-US" w:eastAsia="zh-CN" w:bidi="ar-SA"/>
        </w:rPr>
      </w:pPr>
      <w:r>
        <w:rPr>
          <w:rFonts w:hint="eastAsia" w:ascii="仿宋_GB2312" w:hAnsi="ˎ̥" w:eastAsia="仿宋_GB2312" w:cs="仿宋_GB2312"/>
          <w:color w:val="auto"/>
          <w:kern w:val="2"/>
          <w:sz w:val="32"/>
          <w:szCs w:val="32"/>
          <w:lang w:val="en-US" w:eastAsia="zh-CN" w:bidi="ar-SA"/>
        </w:rPr>
        <w:t>年初结转结余0万元，较2023年度决算数增加（减少）0万元，增长（下降）0%，主要原因是我单位无年初结转结余款项。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（二）支出总计主要构成。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ˎ̥" w:eastAsia="仿宋_GB2312" w:cs="仿宋_GB2312"/>
          <w:color w:val="auto"/>
          <w:kern w:val="2"/>
          <w:sz w:val="32"/>
          <w:szCs w:val="32"/>
          <w:lang w:val="en-US" w:eastAsia="zh-CN" w:bidi="ar-SA"/>
        </w:rPr>
      </w:pPr>
      <w:r>
        <w:rPr>
          <w:rFonts w:hint="eastAsia" w:ascii="仿宋_GB2312" w:hAnsi="ˎ̥" w:eastAsia="仿宋_GB2312" w:cs="仿宋_GB2312"/>
          <w:color w:val="auto"/>
          <w:kern w:val="2"/>
          <w:sz w:val="32"/>
          <w:szCs w:val="32"/>
          <w:lang w:val="en-US" w:eastAsia="zh-CN" w:bidi="ar-SA"/>
        </w:rPr>
        <w:t>本年支出776.54万元。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ˎ̥" w:eastAsia="仿宋_GB2312" w:cs="仿宋_GB2312"/>
          <w:color w:val="auto"/>
          <w:kern w:val="2"/>
          <w:sz w:val="32"/>
          <w:szCs w:val="32"/>
          <w:highlight w:val="none"/>
          <w:lang w:val="en-US" w:eastAsia="zh-CN" w:bidi="ar-SA"/>
        </w:rPr>
      </w:pPr>
      <w:r>
        <w:rPr>
          <w:rFonts w:hint="eastAsia" w:ascii="仿宋_GB2312" w:hAnsi="ˎ̥" w:eastAsia="仿宋_GB2312" w:cs="仿宋_GB2312"/>
          <w:color w:val="auto"/>
          <w:kern w:val="2"/>
          <w:sz w:val="32"/>
          <w:szCs w:val="32"/>
          <w:highlight w:val="none"/>
          <w:lang w:val="en-US" w:eastAsia="zh-CN" w:bidi="ar-SA"/>
        </w:rPr>
        <w:t>结余分配0.43万元，较2023年度决算数的0.25万元，增加0.18万元，同比增长72%，主要原因是本年度非财政拨款收入支出大于2023年的收入支出，收支相抵后结余增加。结余分配用于公益二类事业单位基础绩效和奖励绩效40%自筹部分</w:t>
      </w:r>
      <w:r>
        <w:rPr>
          <w:rFonts w:hint="eastAsia" w:ascii="仿宋_GB2312" w:hAnsi="仿宋" w:eastAsia="仿宋_GB2312" w:cs="仿宋"/>
          <w:color w:val="auto"/>
          <w:sz w:val="32"/>
          <w:szCs w:val="32"/>
          <w:highlight w:val="none"/>
          <w:lang w:val="en-US" w:eastAsia="zh-CN"/>
        </w:rPr>
        <w:t>以及缴纳该部分相对的社保公积金。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ˎ̥" w:eastAsia="仿宋_GB2312" w:cs="仿宋_GB2312"/>
          <w:color w:val="auto"/>
          <w:kern w:val="2"/>
          <w:sz w:val="32"/>
          <w:szCs w:val="32"/>
          <w:lang w:val="en-US" w:eastAsia="zh-CN" w:bidi="ar-SA"/>
        </w:rPr>
      </w:pPr>
      <w:r>
        <w:rPr>
          <w:rFonts w:hint="eastAsia" w:ascii="仿宋_GB2312" w:hAnsi="ˎ̥" w:eastAsia="仿宋_GB2312" w:cs="仿宋_GB2312"/>
          <w:color w:val="auto"/>
          <w:kern w:val="2"/>
          <w:sz w:val="32"/>
          <w:szCs w:val="32"/>
          <w:lang w:val="en-US" w:eastAsia="zh-CN" w:bidi="ar-SA"/>
        </w:rPr>
        <w:t>年末无结转结余款项。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ˎ̥" w:eastAsia="仿宋_GB2312" w:cs="仿宋_GB2312"/>
          <w:color w:val="auto"/>
          <w:kern w:val="2"/>
          <w:sz w:val="32"/>
          <w:szCs w:val="32"/>
          <w:lang w:val="en-US" w:eastAsia="zh-CN" w:bidi="ar-SA"/>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黑体" w:hAnsi="黑体" w:eastAsia="黑体" w:cs="黑体"/>
          <w:bCs/>
          <w:color w:val="auto"/>
          <w:sz w:val="32"/>
          <w:szCs w:val="32"/>
        </w:rPr>
        <w:t xml:space="preserve">   </w:t>
      </w:r>
      <w:r>
        <w:rPr>
          <w:rFonts w:hint="eastAsia" w:ascii="仿宋_GB2312" w:hAnsi="ˎ̥" w:eastAsia="仿宋_GB2312" w:cs="仿宋_GB2312"/>
          <w:color w:val="auto"/>
          <w:kern w:val="2"/>
          <w:sz w:val="32"/>
          <w:szCs w:val="32"/>
          <w:lang w:val="en-US" w:eastAsia="zh-CN" w:bidi="ar-SA"/>
        </w:rPr>
        <w:t xml:space="preserve"> 本年收入776.96万元，其中：财政拨款收入752.28万元，占96.82%；上级补助收入0万元，占0%；事业收入0万元，占0%；经营收入0万元，占0%；附属单位上缴收入0万元，占0%；其他收入24.69万元，占3.17%。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ˎ̥" w:eastAsia="仿宋_GB2312" w:cs="仿宋_GB2312"/>
          <w:color w:val="auto"/>
          <w:kern w:val="2"/>
          <w:sz w:val="32"/>
          <w:szCs w:val="32"/>
          <w:highlight w:val="yellow"/>
          <w:lang w:val="en-US" w:eastAsia="zh-CN" w:bidi="ar-SA"/>
        </w:rPr>
      </w:pPr>
      <w:r>
        <w:rPr>
          <w:rFonts w:hint="eastAsia" w:ascii="仿宋_GB2312" w:hAnsi="ˎ̥" w:eastAsia="仿宋_GB2312" w:cs="仿宋_GB2312"/>
          <w:color w:val="auto"/>
          <w:kern w:val="2"/>
          <w:sz w:val="32"/>
          <w:szCs w:val="32"/>
          <w:lang w:val="en-US" w:eastAsia="zh-CN" w:bidi="ar-SA"/>
        </w:rPr>
        <w:t>本年支出776.54万元，</w:t>
      </w:r>
      <w:r>
        <w:rPr>
          <w:rFonts w:hint="eastAsia" w:ascii="仿宋_GB2312" w:hAnsi="ˎ̥" w:eastAsia="仿宋_GB2312" w:cs="仿宋_GB2312"/>
          <w:color w:val="auto"/>
          <w:kern w:val="2"/>
          <w:sz w:val="32"/>
          <w:szCs w:val="32"/>
          <w:highlight w:val="none"/>
          <w:lang w:val="en-US" w:eastAsia="zh-CN" w:bidi="ar-SA"/>
        </w:rPr>
        <w:t>其中：基本支出107.82万元，占13.88%；项目支出668.72万元，占86.12%；上缴上级支出0万元，占0%；经营支出0万元，占0%；对附属单位补助支出0万元，占0%。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ˎ̥" w:eastAsia="仿宋_GB2312" w:cs="仿宋_GB2312"/>
          <w:color w:val="auto"/>
          <w:kern w:val="2"/>
          <w:sz w:val="32"/>
          <w:szCs w:val="32"/>
          <w:lang w:val="en-US" w:eastAsia="zh-CN" w:bidi="ar-SA"/>
        </w:rPr>
      </w:pPr>
      <w:r>
        <w:rPr>
          <w:rFonts w:hint="eastAsia" w:ascii="仿宋_GB2312" w:hAnsi="ˎ̥" w:eastAsia="仿宋_GB2312" w:cs="仿宋_GB2312"/>
          <w:color w:val="auto"/>
          <w:kern w:val="2"/>
          <w:sz w:val="32"/>
          <w:szCs w:val="32"/>
          <w:lang w:val="en-US" w:eastAsia="zh-CN" w:bidi="ar-SA"/>
        </w:rPr>
        <w:t>2024年度财政拨款收入752.28元，支出752.28万元，与2023年度相比（2023年度财政拨款收入1184.43万元），</w:t>
      </w:r>
      <w:r>
        <w:rPr>
          <w:rFonts w:hint="eastAsia" w:ascii="仿宋_GB2312" w:hAnsi="ˎ̥" w:eastAsia="仿宋_GB2312" w:cs="仿宋_GB2312"/>
          <w:color w:val="auto"/>
          <w:kern w:val="2"/>
          <w:sz w:val="32"/>
          <w:szCs w:val="32"/>
          <w:highlight w:val="none"/>
          <w:lang w:val="en-US" w:eastAsia="zh-CN" w:bidi="ar-SA"/>
        </w:rPr>
        <w:t>财政拨款收入减少432.15万元，减少36.49%，</w:t>
      </w:r>
      <w:r>
        <w:rPr>
          <w:rFonts w:hint="eastAsia" w:ascii="仿宋_GB2312" w:hAnsi="ˎ̥" w:eastAsia="仿宋_GB2312" w:cs="仿宋_GB2312"/>
          <w:color w:val="auto"/>
          <w:kern w:val="2"/>
          <w:sz w:val="32"/>
          <w:szCs w:val="32"/>
          <w:lang w:val="en-US" w:eastAsia="zh-CN" w:bidi="ar-SA"/>
        </w:rPr>
        <w:t>主要原因是2024年减少了海南省白马岭林场橡胶林下种植益智项目310.11万元；增加了海南省白马岭林场油茶种植项目（一期）25.76万元。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ˎ̥" w:eastAsia="仿宋_GB2312" w:cs="仿宋_GB2312"/>
          <w:color w:val="auto"/>
          <w:kern w:val="2"/>
          <w:sz w:val="32"/>
          <w:szCs w:val="32"/>
          <w:lang w:val="en-US" w:eastAsia="zh-CN" w:bidi="ar-SA"/>
        </w:rPr>
      </w:pPr>
      <w:r>
        <w:rPr>
          <w:rFonts w:hint="eastAsia" w:ascii="仿宋_GB2312" w:hAnsi="ˎ̥" w:eastAsia="仿宋_GB2312" w:cs="仿宋_GB2312"/>
          <w:color w:val="auto"/>
          <w:kern w:val="2"/>
          <w:sz w:val="32"/>
          <w:szCs w:val="32"/>
          <w:lang w:val="en-US" w:eastAsia="zh-CN" w:bidi="ar-SA"/>
        </w:rPr>
        <w:t>财政拨款年初结转结余0万元，较2023年度决算数增加（减少）0万元，增长（下降）0%，主要原因是无财政拨款年初结转结余款项。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ˎ̥" w:eastAsia="仿宋_GB2312" w:cs="仿宋_GB2312"/>
          <w:color w:val="auto"/>
          <w:kern w:val="2"/>
          <w:sz w:val="32"/>
          <w:szCs w:val="32"/>
          <w:lang w:val="en-US" w:eastAsia="zh-CN" w:bidi="ar-SA"/>
        </w:rPr>
      </w:pPr>
      <w:r>
        <w:rPr>
          <w:rFonts w:hint="eastAsia" w:ascii="仿宋_GB2312" w:hAnsi="ˎ̥" w:eastAsia="仿宋_GB2312" w:cs="仿宋_GB2312"/>
          <w:color w:val="auto"/>
          <w:kern w:val="2"/>
          <w:sz w:val="32"/>
          <w:szCs w:val="32"/>
          <w:lang w:val="en-US" w:eastAsia="zh-CN" w:bidi="ar-SA"/>
        </w:rPr>
        <w:t>财政拨款年末结转结余0万元，较2023年度决算数增加（减少）0万元，增长（下降）0%，主要原因是无财政拨款年末结转结余款项。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val="en-US" w:eastAsia="zh-CN"/>
        </w:rPr>
      </w:pPr>
      <w:bookmarkStart w:id="77" w:name="_Toc13694_WPSOffice_Level2"/>
      <w:bookmarkStart w:id="78" w:name="_Toc17398_WPSOffice_Level2"/>
      <w:bookmarkStart w:id="79" w:name="_Toc21737_WPSOffice_Level2"/>
      <w:bookmarkStart w:id="80" w:name="_Toc23005_WPSOffice_Level2"/>
      <w:bookmarkStart w:id="81" w:name="_Toc9989_WPSOffice_Level2"/>
      <w:bookmarkStart w:id="82" w:name="_Toc19665_WPSOffice_Level2"/>
      <w:r>
        <w:rPr>
          <w:rFonts w:hint="eastAsia" w:ascii="楷体" w:hAnsi="楷体" w:eastAsia="楷体" w:cs="楷体"/>
          <w:color w:val="auto"/>
          <w:sz w:val="32"/>
          <w:szCs w:val="32"/>
          <w:lang w:val="en-US" w:eastAsia="zh-CN"/>
        </w:rPr>
        <w:t>（一）一般公共预算财政拨款支出决算总体情况</w:t>
      </w:r>
      <w:bookmarkEnd w:id="77"/>
      <w:bookmarkEnd w:id="78"/>
      <w:r>
        <w:rPr>
          <w:rFonts w:hint="eastAsia" w:ascii="楷体" w:hAnsi="楷体" w:eastAsia="楷体" w:cs="楷体"/>
          <w:color w:val="auto"/>
          <w:sz w:val="32"/>
          <w:szCs w:val="32"/>
          <w:lang w:val="en-US" w:eastAsia="zh-CN"/>
        </w:rPr>
        <w:t>。</w:t>
      </w:r>
      <w:bookmarkEnd w:id="79"/>
      <w:bookmarkEnd w:id="80"/>
      <w:bookmarkEnd w:id="81"/>
      <w:bookmarkEnd w:id="82"/>
    </w:p>
    <w:p>
      <w:pPr>
        <w:ind w:firstLine="640" w:firstLineChars="200"/>
        <w:rPr>
          <w:rFonts w:hint="eastAsia" w:ascii="仿宋_GB2312" w:hAnsi="ˎ̥" w:eastAsia="仿宋_GB2312" w:cs="仿宋_GB2312"/>
          <w:color w:val="auto"/>
          <w:kern w:val="2"/>
          <w:sz w:val="32"/>
          <w:szCs w:val="32"/>
          <w:highlight w:val="none"/>
          <w:lang w:val="en-US" w:eastAsia="zh-CN" w:bidi="ar-SA"/>
        </w:rPr>
      </w:pPr>
      <w:r>
        <w:rPr>
          <w:rFonts w:hint="eastAsia" w:ascii="仿宋_GB2312" w:hAnsi="ˎ̥" w:eastAsia="仿宋_GB2312" w:cs="仿宋_GB2312"/>
          <w:color w:val="auto"/>
          <w:kern w:val="2"/>
          <w:sz w:val="32"/>
          <w:szCs w:val="32"/>
          <w:lang w:val="en-US" w:eastAsia="zh-CN" w:bidi="ar-SA"/>
        </w:rPr>
        <w:t>2024年度一般公共预算财政拨款支出752.28万元，占本年支出合计的96.88%，与2023年度</w:t>
      </w:r>
      <w:r>
        <w:rPr>
          <w:rFonts w:hint="default" w:ascii="仿宋_GB2312" w:hAnsi="ˎ̥" w:eastAsia="仿宋_GB2312" w:cs="仿宋_GB2312"/>
          <w:color w:val="auto"/>
          <w:kern w:val="2"/>
          <w:sz w:val="32"/>
          <w:szCs w:val="32"/>
          <w:lang w:eastAsia="zh-CN" w:bidi="ar-SA"/>
        </w:rPr>
        <w:t>的1184.43万元</w:t>
      </w:r>
      <w:r>
        <w:rPr>
          <w:rFonts w:hint="eastAsia" w:ascii="仿宋_GB2312" w:hAnsi="ˎ̥" w:eastAsia="仿宋_GB2312" w:cs="仿宋_GB2312"/>
          <w:color w:val="auto"/>
          <w:kern w:val="2"/>
          <w:sz w:val="32"/>
          <w:szCs w:val="32"/>
          <w:lang w:val="en-US" w:eastAsia="zh-CN" w:bidi="ar-SA"/>
        </w:rPr>
        <w:t>相比，一般公共预算财政拨款支出减少432.15万元，同比减少36.49%</w:t>
      </w:r>
      <w:r>
        <w:rPr>
          <w:rFonts w:hint="eastAsia" w:ascii="仿宋_GB2312" w:hAnsi="ˎ̥" w:eastAsia="仿宋_GB2312" w:cs="仿宋_GB2312"/>
          <w:color w:val="auto"/>
          <w:kern w:val="2"/>
          <w:sz w:val="32"/>
          <w:szCs w:val="32"/>
          <w:highlight w:val="none"/>
          <w:lang w:val="en-US" w:eastAsia="zh-CN" w:bidi="ar-SA"/>
        </w:rPr>
        <w:t>，主要原因是2024年产业发展减少了284.35万元，其他一般公共预算减少14</w:t>
      </w:r>
      <w:r>
        <w:rPr>
          <w:rFonts w:hint="default" w:ascii="仿宋_GB2312" w:hAnsi="ˎ̥" w:eastAsia="仿宋_GB2312" w:cs="仿宋_GB2312"/>
          <w:color w:val="auto"/>
          <w:kern w:val="2"/>
          <w:sz w:val="32"/>
          <w:szCs w:val="32"/>
          <w:highlight w:val="none"/>
          <w:lang w:eastAsia="zh-CN" w:bidi="ar-SA"/>
        </w:rPr>
        <w:t>7</w:t>
      </w:r>
      <w:r>
        <w:rPr>
          <w:rFonts w:hint="eastAsia" w:ascii="仿宋_GB2312" w:hAnsi="ˎ̥" w:eastAsia="仿宋_GB2312" w:cs="仿宋_GB2312"/>
          <w:color w:val="auto"/>
          <w:kern w:val="2"/>
          <w:sz w:val="32"/>
          <w:szCs w:val="32"/>
          <w:highlight w:val="none"/>
          <w:lang w:val="en-US" w:eastAsia="zh-CN" w:bidi="ar-SA"/>
        </w:rPr>
        <w:t>.8万元。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3" w:name="_Toc2711_WPSOffice_Level2"/>
      <w:bookmarkStart w:id="84" w:name="_Toc18793_WPSOffice_Level2"/>
      <w:bookmarkStart w:id="85" w:name="_Toc19075_WPSOffice_Level2"/>
      <w:bookmarkStart w:id="86" w:name="_Toc19535_WPSOffice_Level2"/>
      <w:bookmarkStart w:id="87" w:name="_Toc27767_WPSOffice_Level2"/>
      <w:bookmarkStart w:id="88" w:name="_Toc23864_WPSOffice_Level2"/>
      <w:r>
        <w:rPr>
          <w:rFonts w:hint="eastAsia" w:ascii="楷体" w:hAnsi="楷体" w:eastAsia="楷体" w:cs="楷体"/>
          <w:color w:val="auto"/>
          <w:sz w:val="32"/>
          <w:szCs w:val="32"/>
        </w:rPr>
        <w:t>（二）一般公共预算财政拨款支出决算结构情况</w:t>
      </w:r>
      <w:bookmarkEnd w:id="83"/>
      <w:bookmarkEnd w:id="84"/>
      <w:r>
        <w:rPr>
          <w:rFonts w:hint="eastAsia" w:ascii="楷体" w:hAnsi="楷体" w:eastAsia="楷体" w:cs="楷体"/>
          <w:color w:val="auto"/>
          <w:sz w:val="32"/>
          <w:szCs w:val="32"/>
        </w:rPr>
        <w:t>。</w:t>
      </w:r>
      <w:bookmarkEnd w:id="85"/>
      <w:bookmarkEnd w:id="86"/>
      <w:bookmarkEnd w:id="87"/>
      <w:bookmarkEnd w:id="88"/>
    </w:p>
    <w:p>
      <w:pPr>
        <w:ind w:firstLine="640" w:firstLineChars="200"/>
        <w:rPr>
          <w:rFonts w:hint="eastAsia" w:ascii="仿宋_GB2312" w:hAnsi="ˎ̥" w:eastAsia="仿宋_GB2312" w:cs="仿宋_GB2312"/>
          <w:color w:val="auto"/>
          <w:kern w:val="2"/>
          <w:sz w:val="32"/>
          <w:szCs w:val="32"/>
          <w:highlight w:val="none"/>
          <w:lang w:val="en-US" w:eastAsia="zh-CN" w:bidi="ar-SA"/>
        </w:rPr>
      </w:pPr>
      <w:r>
        <w:rPr>
          <w:rFonts w:hint="eastAsia" w:ascii="仿宋_GB2312" w:hAnsi="ˎ̥" w:eastAsia="仿宋_GB2312" w:cs="仿宋_GB2312"/>
          <w:color w:val="auto"/>
          <w:kern w:val="2"/>
          <w:sz w:val="32"/>
          <w:szCs w:val="32"/>
          <w:lang w:val="en-US" w:eastAsia="zh-CN" w:bidi="ar-SA"/>
        </w:rPr>
        <w:t>2024年度一般公共预算财政拨款支出752.28万元，主要用于以下方面：</w:t>
      </w:r>
      <w:r>
        <w:rPr>
          <w:rFonts w:hint="eastAsia" w:ascii="仿宋_GB2312" w:hAnsi="ˎ̥" w:eastAsia="仿宋_GB2312"/>
          <w:b/>
          <w:color w:val="auto"/>
          <w:sz w:val="32"/>
          <w:szCs w:val="32"/>
          <w:lang w:val="en-US" w:eastAsia="zh-CN"/>
        </w:rPr>
        <w:t>一般公共服务（类）</w:t>
      </w:r>
      <w:r>
        <w:rPr>
          <w:rFonts w:hint="eastAsia" w:ascii="仿宋_GB2312" w:hAnsi="ˎ̥" w:eastAsia="仿宋_GB2312" w:cs="仿宋_GB2312"/>
          <w:color w:val="auto"/>
          <w:kern w:val="2"/>
          <w:sz w:val="32"/>
          <w:szCs w:val="32"/>
          <w:lang w:val="en-US" w:eastAsia="zh-CN" w:bidi="ar-SA"/>
        </w:rPr>
        <w:t>支出0万元，占0%；</w:t>
      </w:r>
      <w:r>
        <w:rPr>
          <w:rFonts w:hint="eastAsia" w:ascii="仿宋_GB2312" w:hAnsi="ˎ̥" w:eastAsia="仿宋_GB2312"/>
          <w:b/>
          <w:color w:val="auto"/>
          <w:sz w:val="32"/>
          <w:szCs w:val="32"/>
          <w:highlight w:val="none"/>
          <w:lang w:val="en-US" w:eastAsia="zh-CN"/>
        </w:rPr>
        <w:t>社会保障和就业（类）</w:t>
      </w:r>
      <w:r>
        <w:rPr>
          <w:rFonts w:hint="eastAsia" w:ascii="仿宋_GB2312" w:hAnsi="ˎ̥" w:eastAsia="仿宋_GB2312" w:cs="仿宋_GB2312"/>
          <w:color w:val="auto"/>
          <w:kern w:val="2"/>
          <w:sz w:val="32"/>
          <w:szCs w:val="32"/>
          <w:highlight w:val="none"/>
          <w:lang w:val="en-US" w:eastAsia="zh-CN" w:bidi="ar-SA"/>
        </w:rPr>
        <w:t>支出16.78万元，占2.23%；</w:t>
      </w:r>
      <w:r>
        <w:rPr>
          <w:rFonts w:hint="eastAsia" w:ascii="仿宋_GB2312" w:hAnsi="ˎ̥" w:eastAsia="仿宋_GB2312"/>
          <w:b/>
          <w:color w:val="auto"/>
          <w:sz w:val="32"/>
          <w:szCs w:val="32"/>
          <w:lang w:val="en-US" w:eastAsia="zh-CN"/>
        </w:rPr>
        <w:t>住房保障（类）</w:t>
      </w:r>
      <w:r>
        <w:rPr>
          <w:rFonts w:hint="eastAsia" w:ascii="仿宋_GB2312" w:hAnsi="ˎ̥" w:eastAsia="仿宋_GB2312" w:cs="仿宋_GB2312"/>
          <w:color w:val="auto"/>
          <w:kern w:val="2"/>
          <w:sz w:val="32"/>
          <w:szCs w:val="32"/>
          <w:lang w:val="en-US" w:eastAsia="zh-CN" w:bidi="ar-SA"/>
        </w:rPr>
        <w:t>支出6.66万元，占0.89%；</w:t>
      </w:r>
      <w:r>
        <w:rPr>
          <w:rFonts w:hint="eastAsia" w:ascii="仿宋_GB2312" w:hAnsi="ˎ̥" w:eastAsia="仿宋_GB2312"/>
          <w:b/>
          <w:color w:val="auto"/>
          <w:sz w:val="32"/>
          <w:szCs w:val="32"/>
          <w:lang w:val="en-US" w:eastAsia="zh-CN"/>
        </w:rPr>
        <w:t>卫生健康（类）</w:t>
      </w:r>
      <w:r>
        <w:rPr>
          <w:rFonts w:hint="eastAsia" w:ascii="仿宋_GB2312" w:hAnsi="ˎ̥" w:eastAsia="仿宋_GB2312" w:cs="仿宋_GB2312"/>
          <w:color w:val="auto"/>
          <w:kern w:val="2"/>
          <w:sz w:val="32"/>
          <w:szCs w:val="32"/>
          <w:lang w:val="en-US" w:eastAsia="zh-CN" w:bidi="ar-SA"/>
        </w:rPr>
        <w:t>支出4.42万元，占0.59%；</w:t>
      </w:r>
      <w:r>
        <w:rPr>
          <w:rFonts w:hint="eastAsia" w:ascii="仿宋_GB2312" w:hAnsi="ˎ̥" w:eastAsia="仿宋_GB2312"/>
          <w:b/>
          <w:color w:val="auto"/>
          <w:sz w:val="32"/>
          <w:szCs w:val="32"/>
          <w:lang w:val="en-US" w:eastAsia="zh-CN"/>
        </w:rPr>
        <w:t>节能环保（类）</w:t>
      </w:r>
      <w:r>
        <w:rPr>
          <w:rFonts w:hint="eastAsia" w:ascii="仿宋_GB2312" w:hAnsi="ˎ̥" w:eastAsia="仿宋_GB2312" w:cs="仿宋_GB2312"/>
          <w:color w:val="auto"/>
          <w:kern w:val="2"/>
          <w:sz w:val="32"/>
          <w:szCs w:val="32"/>
          <w:lang w:val="en-US" w:eastAsia="zh-CN" w:bidi="ar-SA"/>
        </w:rPr>
        <w:t>支出536.35万元，占71.30%</w:t>
      </w:r>
      <w:r>
        <w:rPr>
          <w:rFonts w:hint="eastAsia" w:ascii="仿宋_GB2312" w:hAnsi="ˎ̥" w:eastAsia="仿宋_GB2312" w:cs="仿宋_GB2312"/>
          <w:color w:val="auto"/>
          <w:kern w:val="2"/>
          <w:sz w:val="32"/>
          <w:szCs w:val="32"/>
          <w:highlight w:val="none"/>
          <w:lang w:val="en-US" w:eastAsia="zh-CN" w:bidi="ar-SA"/>
        </w:rPr>
        <w:t>；</w:t>
      </w:r>
      <w:r>
        <w:rPr>
          <w:rFonts w:hint="eastAsia" w:ascii="仿宋_GB2312" w:hAnsi="ˎ̥" w:eastAsia="仿宋_GB2312"/>
          <w:b/>
          <w:color w:val="auto"/>
          <w:sz w:val="32"/>
          <w:szCs w:val="32"/>
          <w:highlight w:val="none"/>
          <w:lang w:val="en-US" w:eastAsia="zh-CN"/>
        </w:rPr>
        <w:t>农林水（类）</w:t>
      </w:r>
      <w:r>
        <w:rPr>
          <w:rFonts w:hint="eastAsia" w:ascii="仿宋_GB2312" w:hAnsi="ˎ̥" w:eastAsia="仿宋_GB2312" w:cs="仿宋_GB2312"/>
          <w:color w:val="auto"/>
          <w:kern w:val="2"/>
          <w:sz w:val="32"/>
          <w:szCs w:val="32"/>
          <w:highlight w:val="none"/>
          <w:lang w:val="en-US" w:eastAsia="zh-CN" w:bidi="ar-SA"/>
        </w:rPr>
        <w:t>支出188.07万元，占25%；</w:t>
      </w:r>
      <w:r>
        <w:rPr>
          <w:rFonts w:hint="eastAsia" w:ascii="仿宋_GB2312" w:hAnsi="ˎ̥" w:eastAsia="仿宋_GB2312"/>
          <w:b/>
          <w:color w:val="auto"/>
          <w:sz w:val="32"/>
          <w:szCs w:val="32"/>
          <w:highlight w:val="none"/>
          <w:lang w:val="en-US" w:eastAsia="zh-CN"/>
        </w:rPr>
        <w:t>交通运输支出（类）</w:t>
      </w:r>
      <w:r>
        <w:rPr>
          <w:rFonts w:hint="eastAsia" w:ascii="仿宋_GB2312" w:hAnsi="ˎ̥" w:eastAsia="仿宋_GB2312" w:cs="仿宋_GB2312"/>
          <w:color w:val="auto"/>
          <w:kern w:val="2"/>
          <w:sz w:val="32"/>
          <w:szCs w:val="32"/>
          <w:lang w:val="en-US" w:eastAsia="zh-CN" w:bidi="ar-SA"/>
        </w:rPr>
        <w:t>支出0万元，占0%</w:t>
      </w:r>
      <w:r>
        <w:rPr>
          <w:rFonts w:hint="eastAsia" w:ascii="仿宋_GB2312" w:hAnsi="ˎ̥"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rPr>
      </w:pPr>
      <w:bookmarkStart w:id="89" w:name="_Toc22318_WPSOffice_Level2"/>
      <w:bookmarkStart w:id="90" w:name="_Toc15415_WPSOffice_Level2"/>
      <w:bookmarkStart w:id="91" w:name="_Toc29364_WPSOffice_Level2"/>
      <w:bookmarkStart w:id="92" w:name="_Toc25136_WPSOffice_Level2"/>
      <w:bookmarkStart w:id="93" w:name="_Toc21701_WPSOffice_Level2"/>
      <w:bookmarkStart w:id="94" w:name="_Toc9502_WPSOffice_Level2"/>
      <w:r>
        <w:rPr>
          <w:rFonts w:hint="eastAsia" w:ascii="楷体" w:hAnsi="楷体" w:eastAsia="楷体" w:cs="楷体"/>
          <w:color w:val="auto"/>
          <w:sz w:val="32"/>
          <w:szCs w:val="32"/>
        </w:rPr>
        <w:t>（三）一般公共预算财政拨款支出决算具体情况。</w:t>
      </w:r>
      <w:bookmarkEnd w:id="89"/>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ˎ̥" w:eastAsia="仿宋_GB2312" w:cs="仿宋_GB2312"/>
          <w:color w:val="auto"/>
          <w:kern w:val="2"/>
          <w:sz w:val="32"/>
          <w:szCs w:val="32"/>
          <w:lang w:val="en-US" w:eastAsia="zh-CN" w:bidi="ar-SA"/>
        </w:rPr>
      </w:pPr>
      <w:r>
        <w:rPr>
          <w:rFonts w:hint="eastAsia" w:ascii="仿宋_GB2312" w:hAnsi="ˎ̥" w:eastAsia="仿宋_GB2312" w:cs="仿宋_GB2312"/>
          <w:color w:val="auto"/>
          <w:kern w:val="2"/>
          <w:sz w:val="32"/>
          <w:szCs w:val="32"/>
          <w:lang w:val="en-US" w:eastAsia="zh-CN" w:bidi="ar-SA"/>
        </w:rPr>
        <w:t>2024年度一般公共预算财政拨款支出年初预算为752.28万元，支出决算为752.28万元，完成年初预算的100%。其中：</w:t>
      </w:r>
    </w:p>
    <w:p>
      <w:pPr>
        <w:keepNext w:val="0"/>
        <w:keepLines w:val="0"/>
        <w:pageBreakBefore w:val="0"/>
        <w:kinsoku/>
        <w:wordWrap/>
        <w:overflowPunct/>
        <w:topLinePunct w:val="0"/>
        <w:autoSpaceDE/>
        <w:autoSpaceDN/>
        <w:bidi w:val="0"/>
        <w:adjustRightInd/>
        <w:snapToGrid/>
        <w:spacing w:line="578" w:lineRule="exact"/>
        <w:ind w:firstLine="642"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1</w:t>
      </w:r>
      <w:r>
        <w:rPr>
          <w:rFonts w:hint="eastAsia" w:ascii="仿宋_GB2312" w:hAnsi="ˎ̥" w:eastAsia="仿宋_GB2312"/>
          <w:b/>
          <w:color w:val="auto"/>
          <w:sz w:val="32"/>
          <w:szCs w:val="32"/>
          <w:lang w:val="en-US" w:eastAsia="zh-CN"/>
        </w:rPr>
        <w:t>.</w:t>
      </w:r>
      <w:r>
        <w:rPr>
          <w:rFonts w:hint="eastAsia" w:ascii="仿宋_GB2312" w:hAnsi="ˎ̥" w:eastAsia="仿宋_GB2312"/>
          <w:b/>
          <w:color w:val="auto"/>
          <w:sz w:val="32"/>
          <w:szCs w:val="32"/>
        </w:rPr>
        <w:t>一般公共服务（类）人大事务（款）行政运行（项）</w:t>
      </w:r>
    </w:p>
    <w:p>
      <w:pPr>
        <w:keepNext w:val="0"/>
        <w:keepLines w:val="0"/>
        <w:pageBreakBefore w:val="0"/>
        <w:kinsoku/>
        <w:wordWrap/>
        <w:overflowPunct/>
        <w:topLinePunct w:val="0"/>
        <w:autoSpaceDE/>
        <w:autoSpaceDN/>
        <w:bidi w:val="0"/>
        <w:adjustRightInd/>
        <w:snapToGrid/>
        <w:textAlignment w:val="auto"/>
        <w:rPr>
          <w:rFonts w:hint="eastAsia" w:ascii="仿宋_GB2312" w:hAnsi="ˎ̥" w:eastAsia="仿宋_GB2312" w:cs="Times New Roman"/>
          <w:color w:val="auto"/>
          <w:kern w:val="2"/>
          <w:sz w:val="32"/>
          <w:szCs w:val="32"/>
          <w:lang w:val="en-US" w:eastAsia="zh-CN" w:bidi="ar-SA"/>
        </w:rPr>
      </w:pPr>
      <w:r>
        <w:rPr>
          <w:rFonts w:hint="eastAsia" w:ascii="仿宋_GB2312" w:hAnsi="ˎ̥" w:eastAsia="仿宋_GB2312" w:cs="Times New Roman"/>
          <w:color w:val="auto"/>
          <w:kern w:val="2"/>
          <w:sz w:val="32"/>
          <w:szCs w:val="32"/>
          <w:lang w:val="en-US" w:eastAsia="zh-CN" w:bidi="ar-SA"/>
        </w:rPr>
        <w:t>年初预算为0万元，支出决算为0万元，完成年初预算的0%。</w:t>
      </w:r>
    </w:p>
    <w:p>
      <w:pPr>
        <w:keepNext w:val="0"/>
        <w:keepLines w:val="0"/>
        <w:pageBreakBefore w:val="0"/>
        <w:kinsoku/>
        <w:wordWrap/>
        <w:overflowPunct/>
        <w:topLinePunct w:val="0"/>
        <w:autoSpaceDE/>
        <w:autoSpaceDN/>
        <w:bidi w:val="0"/>
        <w:adjustRightInd/>
        <w:snapToGrid/>
        <w:ind w:firstLine="642" w:firstLineChars="200"/>
        <w:textAlignment w:val="auto"/>
        <w:rPr>
          <w:rFonts w:hint="eastAsia" w:ascii="仿宋_GB2312" w:hAnsi="ˎ̥" w:eastAsia="仿宋_GB2312" w:cs="Times New Roman"/>
          <w:color w:val="auto"/>
          <w:kern w:val="2"/>
          <w:sz w:val="32"/>
          <w:szCs w:val="32"/>
          <w:highlight w:val="none"/>
          <w:lang w:val="en-US" w:eastAsia="zh-CN" w:bidi="ar-SA"/>
        </w:rPr>
      </w:pPr>
      <w:r>
        <w:rPr>
          <w:rFonts w:hint="eastAsia" w:ascii="仿宋_GB2312" w:hAnsi="ˎ̥" w:eastAsia="仿宋_GB2312"/>
          <w:b/>
          <w:color w:val="auto"/>
          <w:sz w:val="32"/>
          <w:szCs w:val="32"/>
          <w:highlight w:val="none"/>
          <w:lang w:val="en-US" w:eastAsia="zh-CN"/>
        </w:rPr>
        <w:t>2.社会保障和就业支出（类）行政事业单位养老支出（款）机关事业单位基本养老保险缴费支出（项）</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ˎ̥" w:eastAsia="仿宋_GB2312" w:cs="Times New Roman"/>
          <w:color w:val="auto"/>
          <w:kern w:val="2"/>
          <w:sz w:val="32"/>
          <w:szCs w:val="32"/>
          <w:highlight w:val="none"/>
          <w:lang w:val="en-US" w:eastAsia="zh-CN" w:bidi="ar-SA"/>
        </w:rPr>
      </w:pPr>
      <w:r>
        <w:rPr>
          <w:rFonts w:hint="eastAsia" w:ascii="仿宋_GB2312" w:hAnsi="ˎ̥" w:eastAsia="仿宋_GB2312" w:cs="Times New Roman"/>
          <w:color w:val="auto"/>
          <w:kern w:val="2"/>
          <w:sz w:val="32"/>
          <w:szCs w:val="32"/>
          <w:highlight w:val="none"/>
          <w:lang w:val="en-US" w:eastAsia="zh-CN" w:bidi="ar-SA"/>
        </w:rPr>
        <w:t>年初预算为9.22万元，支出决算为9.22万元，完成年初预算的100%。</w:t>
      </w:r>
    </w:p>
    <w:p>
      <w:pPr>
        <w:keepNext w:val="0"/>
        <w:keepLines w:val="0"/>
        <w:pageBreakBefore w:val="0"/>
        <w:kinsoku/>
        <w:wordWrap/>
        <w:overflowPunct/>
        <w:topLinePunct w:val="0"/>
        <w:autoSpaceDE/>
        <w:autoSpaceDN/>
        <w:bidi w:val="0"/>
        <w:adjustRightInd/>
        <w:snapToGrid/>
        <w:ind w:firstLine="642" w:firstLineChars="200"/>
        <w:textAlignment w:val="auto"/>
        <w:rPr>
          <w:rFonts w:hint="eastAsia" w:ascii="仿宋_GB2312" w:hAnsi="ˎ̥" w:eastAsia="仿宋_GB2312"/>
          <w:b/>
          <w:color w:val="auto"/>
          <w:sz w:val="32"/>
          <w:szCs w:val="32"/>
          <w:highlight w:val="none"/>
          <w:lang w:val="en-US" w:eastAsia="zh-CN"/>
        </w:rPr>
      </w:pPr>
      <w:r>
        <w:rPr>
          <w:rFonts w:hint="eastAsia" w:ascii="仿宋_GB2312" w:hAnsi="ˎ̥" w:eastAsia="仿宋_GB2312"/>
          <w:b/>
          <w:color w:val="auto"/>
          <w:sz w:val="32"/>
          <w:szCs w:val="32"/>
          <w:highlight w:val="none"/>
          <w:lang w:val="en-US" w:eastAsia="zh-CN"/>
        </w:rPr>
        <w:t>3.社会保障和就业支出（类）行政事业单位养老支出（款）机关事业单位职业年金缴费支出（项）</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ˎ̥" w:eastAsia="仿宋_GB2312" w:cs="Times New Roman"/>
          <w:color w:val="auto"/>
          <w:kern w:val="2"/>
          <w:sz w:val="32"/>
          <w:szCs w:val="32"/>
          <w:highlight w:val="none"/>
          <w:lang w:val="en-US" w:eastAsia="zh-CN" w:bidi="ar-SA"/>
        </w:rPr>
      </w:pPr>
      <w:r>
        <w:rPr>
          <w:rFonts w:hint="eastAsia" w:ascii="仿宋_GB2312" w:hAnsi="ˎ̥" w:eastAsia="仿宋_GB2312" w:cs="Times New Roman"/>
          <w:color w:val="auto"/>
          <w:kern w:val="2"/>
          <w:sz w:val="32"/>
          <w:szCs w:val="32"/>
          <w:highlight w:val="none"/>
          <w:lang w:val="en-US" w:eastAsia="zh-CN" w:bidi="ar-SA"/>
        </w:rPr>
        <w:t>年初预算为4.61万元，支出决算为4.61万元，完成年初预算的100%。</w:t>
      </w:r>
    </w:p>
    <w:p>
      <w:pPr>
        <w:keepNext w:val="0"/>
        <w:keepLines w:val="0"/>
        <w:pageBreakBefore w:val="0"/>
        <w:numPr>
          <w:ilvl w:val="0"/>
          <w:numId w:val="0"/>
        </w:numPr>
        <w:kinsoku/>
        <w:wordWrap/>
        <w:overflowPunct/>
        <w:topLinePunct w:val="0"/>
        <w:autoSpaceDE/>
        <w:autoSpaceDN/>
        <w:bidi w:val="0"/>
        <w:adjustRightInd/>
        <w:snapToGrid/>
        <w:ind w:firstLine="642" w:firstLineChars="200"/>
        <w:textAlignment w:val="auto"/>
        <w:rPr>
          <w:rFonts w:hint="eastAsia" w:ascii="仿宋_GB2312" w:hAnsi="ˎ̥" w:eastAsia="仿宋_GB2312"/>
          <w:b/>
          <w:color w:val="auto"/>
          <w:sz w:val="32"/>
          <w:szCs w:val="32"/>
          <w:highlight w:val="none"/>
          <w:lang w:val="en-US" w:eastAsia="zh-CN"/>
        </w:rPr>
      </w:pPr>
      <w:r>
        <w:rPr>
          <w:rFonts w:hint="eastAsia" w:ascii="仿宋_GB2312" w:hAnsi="ˎ̥" w:eastAsia="仿宋_GB2312"/>
          <w:b/>
          <w:color w:val="auto"/>
          <w:sz w:val="32"/>
          <w:szCs w:val="32"/>
          <w:highlight w:val="none"/>
          <w:lang w:val="en-US" w:eastAsia="zh-CN"/>
        </w:rPr>
        <w:t>4.社会保障和就业支出（类）行政事业单位养老支出（款）机关事业单位职业年金缴费支出（项）</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ˎ̥" w:eastAsia="仿宋_GB2312" w:cs="Times New Roman"/>
          <w:color w:val="auto"/>
          <w:kern w:val="2"/>
          <w:sz w:val="32"/>
          <w:szCs w:val="32"/>
          <w:highlight w:val="none"/>
          <w:lang w:val="en-US" w:eastAsia="zh-CN" w:bidi="ar-SA"/>
        </w:rPr>
      </w:pPr>
      <w:r>
        <w:rPr>
          <w:rFonts w:hint="default" w:ascii="仿宋_GB2312" w:hAnsi="ˎ̥" w:eastAsia="仿宋_GB2312" w:cs="Times New Roman"/>
          <w:color w:val="auto"/>
          <w:kern w:val="2"/>
          <w:sz w:val="32"/>
          <w:szCs w:val="32"/>
          <w:highlight w:val="none"/>
          <w:lang w:val="en-US" w:eastAsia="zh-CN" w:bidi="ar-SA"/>
        </w:rPr>
        <w:t>年初预算为</w:t>
      </w:r>
      <w:r>
        <w:rPr>
          <w:rFonts w:hint="eastAsia" w:ascii="仿宋_GB2312" w:hAnsi="ˎ̥" w:eastAsia="仿宋_GB2312" w:cs="Times New Roman"/>
          <w:color w:val="auto"/>
          <w:kern w:val="2"/>
          <w:sz w:val="32"/>
          <w:szCs w:val="32"/>
          <w:highlight w:val="none"/>
          <w:lang w:val="en-US" w:eastAsia="zh-CN" w:bidi="ar-SA"/>
        </w:rPr>
        <w:t>2.94</w:t>
      </w:r>
      <w:r>
        <w:rPr>
          <w:rFonts w:hint="default" w:ascii="仿宋_GB2312" w:hAnsi="ˎ̥" w:eastAsia="仿宋_GB2312" w:cs="Times New Roman"/>
          <w:color w:val="auto"/>
          <w:kern w:val="2"/>
          <w:sz w:val="32"/>
          <w:szCs w:val="32"/>
          <w:highlight w:val="none"/>
          <w:lang w:val="en-US" w:eastAsia="zh-CN" w:bidi="ar-SA"/>
        </w:rPr>
        <w:t>万元，支出决算为</w:t>
      </w:r>
      <w:r>
        <w:rPr>
          <w:rFonts w:hint="eastAsia" w:ascii="仿宋_GB2312" w:hAnsi="ˎ̥" w:eastAsia="仿宋_GB2312" w:cs="Times New Roman"/>
          <w:color w:val="auto"/>
          <w:kern w:val="2"/>
          <w:sz w:val="32"/>
          <w:szCs w:val="32"/>
          <w:highlight w:val="none"/>
          <w:lang w:val="en-US" w:eastAsia="zh-CN" w:bidi="ar-SA"/>
        </w:rPr>
        <w:t>2.94</w:t>
      </w:r>
      <w:r>
        <w:rPr>
          <w:rFonts w:hint="default" w:ascii="仿宋_GB2312" w:hAnsi="ˎ̥" w:eastAsia="仿宋_GB2312" w:cs="Times New Roman"/>
          <w:color w:val="auto"/>
          <w:kern w:val="2"/>
          <w:sz w:val="32"/>
          <w:szCs w:val="32"/>
          <w:highlight w:val="none"/>
          <w:lang w:val="en-US" w:eastAsia="zh-CN" w:bidi="ar-SA"/>
        </w:rPr>
        <w:t>万元，完成年初预算的100%。</w:t>
      </w:r>
    </w:p>
    <w:p>
      <w:pPr>
        <w:keepNext w:val="0"/>
        <w:keepLines w:val="0"/>
        <w:pageBreakBefore w:val="0"/>
        <w:kinsoku/>
        <w:wordWrap/>
        <w:overflowPunct/>
        <w:topLinePunct w:val="0"/>
        <w:autoSpaceDE/>
        <w:autoSpaceDN/>
        <w:bidi w:val="0"/>
        <w:adjustRightInd/>
        <w:snapToGrid/>
        <w:ind w:firstLine="642" w:firstLineChars="200"/>
        <w:textAlignment w:val="auto"/>
        <w:rPr>
          <w:rFonts w:hint="eastAsia" w:ascii="仿宋_GB2312" w:hAnsi="ˎ̥" w:eastAsia="仿宋_GB2312" w:cs="Times New Roman"/>
          <w:color w:val="auto"/>
          <w:kern w:val="2"/>
          <w:sz w:val="32"/>
          <w:szCs w:val="32"/>
          <w:lang w:val="en-US" w:eastAsia="zh-CN" w:bidi="ar-SA"/>
        </w:rPr>
      </w:pPr>
      <w:r>
        <w:rPr>
          <w:rFonts w:hint="eastAsia" w:ascii="仿宋_GB2312" w:hAnsi="ˎ̥" w:eastAsia="仿宋_GB2312"/>
          <w:b/>
          <w:color w:val="auto"/>
          <w:sz w:val="32"/>
          <w:szCs w:val="32"/>
          <w:lang w:val="en-US" w:eastAsia="zh-CN"/>
        </w:rPr>
        <w:t>5.卫生健康支出（类）行政事业单位医疗（款）  事业单位医疗（项）</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ˎ̥" w:eastAsia="仿宋_GB2312" w:cs="Times New Roman"/>
          <w:color w:val="auto"/>
          <w:kern w:val="2"/>
          <w:sz w:val="32"/>
          <w:szCs w:val="32"/>
          <w:lang w:val="en-US" w:eastAsia="zh-CN" w:bidi="ar-SA"/>
        </w:rPr>
      </w:pPr>
      <w:r>
        <w:rPr>
          <w:rFonts w:hint="eastAsia" w:ascii="仿宋_GB2312" w:hAnsi="ˎ̥" w:eastAsia="仿宋_GB2312" w:cs="Times New Roman"/>
          <w:color w:val="auto"/>
          <w:kern w:val="2"/>
          <w:sz w:val="32"/>
          <w:szCs w:val="32"/>
          <w:lang w:val="en-US" w:eastAsia="zh-CN" w:bidi="ar-SA"/>
        </w:rPr>
        <w:t>年初预算为4.42万元，支出决算为4.42万元，完成年初预算的100%。</w:t>
      </w:r>
    </w:p>
    <w:p>
      <w:pPr>
        <w:keepNext w:val="0"/>
        <w:keepLines w:val="0"/>
        <w:pageBreakBefore w:val="0"/>
        <w:kinsoku/>
        <w:wordWrap/>
        <w:overflowPunct/>
        <w:topLinePunct w:val="0"/>
        <w:autoSpaceDE/>
        <w:autoSpaceDN/>
        <w:bidi w:val="0"/>
        <w:adjustRightInd/>
        <w:snapToGrid/>
        <w:ind w:firstLine="642" w:firstLineChars="200"/>
        <w:textAlignment w:val="auto"/>
        <w:rPr>
          <w:rFonts w:hint="eastAsia"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6.节能环保支出（类）自然生态保护（款） 社会保险补助（项）</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ˎ̥" w:eastAsia="仿宋_GB2312" w:cs="Times New Roman"/>
          <w:color w:val="auto"/>
          <w:kern w:val="2"/>
          <w:sz w:val="32"/>
          <w:szCs w:val="32"/>
          <w:lang w:val="en-US" w:eastAsia="zh-CN" w:bidi="ar-SA"/>
        </w:rPr>
      </w:pPr>
      <w:r>
        <w:rPr>
          <w:rFonts w:hint="eastAsia" w:ascii="仿宋_GB2312" w:hAnsi="ˎ̥" w:eastAsia="仿宋_GB2312" w:cs="Times New Roman"/>
          <w:color w:val="auto"/>
          <w:kern w:val="2"/>
          <w:sz w:val="32"/>
          <w:szCs w:val="32"/>
          <w:lang w:val="en-US" w:eastAsia="zh-CN" w:bidi="ar-SA"/>
        </w:rPr>
        <w:t>年初预算为45.95万元，支出决算为45.95万元，完成年初预算的100%。</w:t>
      </w:r>
    </w:p>
    <w:p>
      <w:pPr>
        <w:keepNext w:val="0"/>
        <w:keepLines w:val="0"/>
        <w:pageBreakBefore w:val="0"/>
        <w:kinsoku/>
        <w:wordWrap/>
        <w:overflowPunct/>
        <w:topLinePunct w:val="0"/>
        <w:autoSpaceDE/>
        <w:autoSpaceDN/>
        <w:bidi w:val="0"/>
        <w:adjustRightInd/>
        <w:snapToGrid/>
        <w:ind w:firstLine="642" w:firstLineChars="200"/>
        <w:textAlignment w:val="auto"/>
        <w:rPr>
          <w:rFonts w:hint="eastAsia"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7.节能环保支出（类）自然生态保护（款）森林管护（项）</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ˎ̥" w:eastAsia="仿宋_GB2312" w:cs="Times New Roman"/>
          <w:color w:val="auto"/>
          <w:kern w:val="2"/>
          <w:sz w:val="32"/>
          <w:szCs w:val="32"/>
          <w:highlight w:val="none"/>
          <w:lang w:val="en-US" w:eastAsia="zh-CN" w:bidi="ar-SA"/>
        </w:rPr>
      </w:pPr>
      <w:r>
        <w:rPr>
          <w:rFonts w:hint="eastAsia" w:ascii="仿宋_GB2312" w:hAnsi="ˎ̥" w:eastAsia="仿宋_GB2312" w:cs="Times New Roman"/>
          <w:color w:val="auto"/>
          <w:kern w:val="2"/>
          <w:sz w:val="32"/>
          <w:szCs w:val="32"/>
          <w:highlight w:val="none"/>
          <w:lang w:val="en-US" w:eastAsia="zh-CN" w:bidi="ar-SA"/>
        </w:rPr>
        <w:t>年初预算为490.40万元，支出决算为490.40万元，完成年初预算的100%。</w:t>
      </w:r>
    </w:p>
    <w:p>
      <w:pPr>
        <w:keepNext w:val="0"/>
        <w:keepLines w:val="0"/>
        <w:pageBreakBefore w:val="0"/>
        <w:kinsoku/>
        <w:wordWrap/>
        <w:overflowPunct/>
        <w:topLinePunct w:val="0"/>
        <w:autoSpaceDE/>
        <w:autoSpaceDN/>
        <w:bidi w:val="0"/>
        <w:adjustRightInd/>
        <w:snapToGrid/>
        <w:ind w:firstLine="642" w:firstLineChars="200"/>
        <w:textAlignment w:val="auto"/>
        <w:rPr>
          <w:rFonts w:hint="eastAsia" w:ascii="仿宋_GB2312" w:hAnsi="ˎ̥" w:eastAsia="仿宋_GB2312"/>
          <w:b/>
          <w:color w:val="auto"/>
          <w:sz w:val="32"/>
          <w:szCs w:val="32"/>
          <w:highlight w:val="none"/>
          <w:lang w:val="en-US" w:eastAsia="zh-CN"/>
        </w:rPr>
      </w:pPr>
      <w:r>
        <w:rPr>
          <w:rFonts w:hint="eastAsia" w:ascii="仿宋_GB2312" w:hAnsi="ˎ̥" w:eastAsia="仿宋_GB2312"/>
          <w:b/>
          <w:color w:val="auto"/>
          <w:sz w:val="32"/>
          <w:szCs w:val="32"/>
          <w:highlight w:val="none"/>
          <w:lang w:val="en-US" w:eastAsia="zh-CN"/>
        </w:rPr>
        <w:t>8.农林水支出（类）林业和草原（款）事业机构（项）</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ˎ̥" w:eastAsia="仿宋_GB2312" w:cs="Times New Roman"/>
          <w:color w:val="auto"/>
          <w:kern w:val="2"/>
          <w:sz w:val="32"/>
          <w:szCs w:val="32"/>
          <w:highlight w:val="none"/>
          <w:lang w:val="en-US" w:eastAsia="zh-CN" w:bidi="ar-SA"/>
        </w:rPr>
      </w:pPr>
      <w:r>
        <w:rPr>
          <w:rFonts w:hint="eastAsia" w:ascii="仿宋_GB2312" w:hAnsi="ˎ̥" w:eastAsia="仿宋_GB2312" w:cs="Times New Roman"/>
          <w:color w:val="auto"/>
          <w:kern w:val="2"/>
          <w:sz w:val="32"/>
          <w:szCs w:val="32"/>
          <w:highlight w:val="none"/>
          <w:lang w:val="en-US" w:eastAsia="zh-CN" w:bidi="ar-SA"/>
        </w:rPr>
        <w:t>年初预算为55.70万元，支出决算为55.70万元，完成年初预算的100%。</w:t>
      </w:r>
    </w:p>
    <w:p>
      <w:pPr>
        <w:keepNext w:val="0"/>
        <w:keepLines w:val="0"/>
        <w:pageBreakBefore w:val="0"/>
        <w:numPr>
          <w:ilvl w:val="0"/>
          <w:numId w:val="0"/>
        </w:numPr>
        <w:kinsoku/>
        <w:wordWrap/>
        <w:overflowPunct/>
        <w:topLinePunct w:val="0"/>
        <w:autoSpaceDE/>
        <w:autoSpaceDN/>
        <w:bidi w:val="0"/>
        <w:adjustRightInd/>
        <w:snapToGrid/>
        <w:ind w:firstLine="642" w:firstLineChars="200"/>
        <w:textAlignment w:val="auto"/>
        <w:rPr>
          <w:rFonts w:hint="eastAsia" w:ascii="仿宋_GB2312" w:hAnsi="ˎ̥" w:eastAsia="仿宋_GB2312" w:cs="Times New Roman"/>
          <w:b/>
          <w:bCs/>
          <w:color w:val="auto"/>
          <w:kern w:val="2"/>
          <w:sz w:val="32"/>
          <w:szCs w:val="32"/>
          <w:highlight w:val="none"/>
          <w:lang w:val="en-US" w:eastAsia="zh-CN" w:bidi="ar-SA"/>
        </w:rPr>
      </w:pPr>
      <w:r>
        <w:rPr>
          <w:rFonts w:hint="eastAsia" w:ascii="仿宋_GB2312" w:hAnsi="ˎ̥" w:eastAsia="仿宋_GB2312" w:cs="Times New Roman"/>
          <w:b/>
          <w:bCs/>
          <w:color w:val="auto"/>
          <w:kern w:val="2"/>
          <w:sz w:val="32"/>
          <w:szCs w:val="32"/>
          <w:highlight w:val="none"/>
          <w:lang w:val="en-US" w:eastAsia="zh-CN" w:bidi="ar-SA"/>
        </w:rPr>
        <w:t>9.农林水支出（类）林业和草原（款）生态效益补偿（项）</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ˎ̥" w:eastAsia="仿宋_GB2312" w:cs="Times New Roman"/>
          <w:color w:val="auto"/>
          <w:kern w:val="2"/>
          <w:sz w:val="32"/>
          <w:szCs w:val="32"/>
          <w:highlight w:val="none"/>
          <w:lang w:val="en-US" w:eastAsia="zh-CN" w:bidi="ar-SA"/>
        </w:rPr>
      </w:pPr>
      <w:r>
        <w:rPr>
          <w:rFonts w:hint="eastAsia" w:ascii="仿宋_GB2312" w:hAnsi="ˎ̥" w:eastAsia="仿宋_GB2312" w:cs="Times New Roman"/>
          <w:color w:val="auto"/>
          <w:kern w:val="2"/>
          <w:sz w:val="32"/>
          <w:szCs w:val="32"/>
          <w:highlight w:val="none"/>
          <w:lang w:val="en-US" w:eastAsia="zh-CN" w:bidi="ar-SA"/>
        </w:rPr>
        <w:t>年初预算为13.96万元，支出决算为13.96万元，完成年初预算的100%。</w:t>
      </w:r>
    </w:p>
    <w:p>
      <w:pPr>
        <w:keepNext w:val="0"/>
        <w:keepLines w:val="0"/>
        <w:pageBreakBefore w:val="0"/>
        <w:numPr>
          <w:ilvl w:val="0"/>
          <w:numId w:val="0"/>
        </w:numPr>
        <w:kinsoku/>
        <w:wordWrap/>
        <w:overflowPunct/>
        <w:topLinePunct w:val="0"/>
        <w:autoSpaceDE/>
        <w:autoSpaceDN/>
        <w:bidi w:val="0"/>
        <w:adjustRightInd/>
        <w:snapToGrid/>
        <w:ind w:firstLine="642" w:firstLineChars="200"/>
        <w:textAlignment w:val="auto"/>
        <w:rPr>
          <w:rFonts w:hint="eastAsia" w:ascii="仿宋_GB2312" w:hAnsi="ˎ̥" w:eastAsia="仿宋_GB2312" w:cs="Times New Roman"/>
          <w:color w:val="auto"/>
          <w:kern w:val="2"/>
          <w:sz w:val="32"/>
          <w:szCs w:val="32"/>
          <w:highlight w:val="none"/>
          <w:lang w:val="en-US" w:eastAsia="zh-CN" w:bidi="ar-SA"/>
        </w:rPr>
      </w:pPr>
      <w:r>
        <w:rPr>
          <w:rFonts w:hint="eastAsia" w:ascii="仿宋_GB2312" w:hAnsi="ˎ̥" w:eastAsia="仿宋_GB2312"/>
          <w:b/>
          <w:color w:val="auto"/>
          <w:sz w:val="32"/>
          <w:szCs w:val="32"/>
          <w:highlight w:val="none"/>
          <w:lang w:val="en-US" w:eastAsia="zh-CN"/>
        </w:rPr>
        <w:t>10.农林水支出（类）林业和草原（款）巩固脱贫攻坚成果衔接乡村振兴（项）</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ˎ̥" w:eastAsia="仿宋_GB2312" w:cs="Times New Roman"/>
          <w:color w:val="auto"/>
          <w:kern w:val="2"/>
          <w:sz w:val="32"/>
          <w:szCs w:val="32"/>
          <w:highlight w:val="none"/>
          <w:lang w:val="en-US" w:eastAsia="zh-CN" w:bidi="ar-SA"/>
        </w:rPr>
      </w:pPr>
      <w:r>
        <w:rPr>
          <w:rFonts w:hint="eastAsia" w:ascii="仿宋_GB2312" w:hAnsi="ˎ̥" w:eastAsia="仿宋_GB2312" w:cs="Times New Roman"/>
          <w:color w:val="auto"/>
          <w:kern w:val="2"/>
          <w:sz w:val="32"/>
          <w:szCs w:val="32"/>
          <w:highlight w:val="none"/>
          <w:lang w:val="en-US" w:eastAsia="zh-CN" w:bidi="ar-SA"/>
        </w:rPr>
        <w:t>年初预算为23.87万元，支出决算为23.87万元，完成年初预算的100%。</w:t>
      </w:r>
    </w:p>
    <w:p>
      <w:pPr>
        <w:keepNext w:val="0"/>
        <w:keepLines w:val="0"/>
        <w:pageBreakBefore w:val="0"/>
        <w:kinsoku/>
        <w:wordWrap/>
        <w:overflowPunct/>
        <w:topLinePunct w:val="0"/>
        <w:autoSpaceDE/>
        <w:autoSpaceDN/>
        <w:bidi w:val="0"/>
        <w:adjustRightInd/>
        <w:snapToGrid/>
        <w:ind w:firstLine="642" w:firstLineChars="200"/>
        <w:textAlignment w:val="auto"/>
        <w:rPr>
          <w:rFonts w:hint="eastAsia" w:ascii="仿宋_GB2312" w:hAnsi="ˎ̥" w:eastAsia="仿宋_GB2312"/>
          <w:b/>
          <w:color w:val="auto"/>
          <w:sz w:val="32"/>
          <w:szCs w:val="32"/>
          <w:highlight w:val="none"/>
          <w:lang w:val="en-US" w:eastAsia="zh-CN"/>
        </w:rPr>
      </w:pPr>
      <w:r>
        <w:rPr>
          <w:rFonts w:hint="eastAsia" w:ascii="仿宋_GB2312" w:hAnsi="ˎ̥" w:eastAsia="仿宋_GB2312"/>
          <w:b/>
          <w:color w:val="auto"/>
          <w:sz w:val="32"/>
          <w:szCs w:val="32"/>
          <w:highlight w:val="none"/>
          <w:lang w:val="en-US" w:eastAsia="zh-CN"/>
        </w:rPr>
        <w:t>11.农林水支出（类）林业和草原（款）巩固脱贫攻坚成果衔接乡村振兴（项）</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ˎ̥" w:eastAsia="仿宋_GB2312" w:cs="Times New Roman"/>
          <w:color w:val="auto"/>
          <w:kern w:val="2"/>
          <w:sz w:val="32"/>
          <w:szCs w:val="32"/>
          <w:highlight w:val="none"/>
          <w:lang w:val="en-US" w:eastAsia="zh-CN" w:bidi="ar-SA"/>
        </w:rPr>
      </w:pPr>
      <w:r>
        <w:rPr>
          <w:rFonts w:hint="eastAsia" w:ascii="仿宋_GB2312" w:hAnsi="ˎ̥" w:eastAsia="仿宋_GB2312" w:cs="Times New Roman"/>
          <w:color w:val="auto"/>
          <w:kern w:val="2"/>
          <w:sz w:val="32"/>
          <w:szCs w:val="32"/>
          <w:highlight w:val="none"/>
          <w:lang w:val="en-US" w:eastAsia="zh-CN" w:bidi="ar-SA"/>
        </w:rPr>
        <w:t>年初预算为94.54万元，支出决算为94.54万元，完成年初预算的100%。</w:t>
      </w:r>
    </w:p>
    <w:p>
      <w:pPr>
        <w:keepNext w:val="0"/>
        <w:keepLines w:val="0"/>
        <w:pageBreakBefore w:val="0"/>
        <w:kinsoku/>
        <w:wordWrap/>
        <w:overflowPunct/>
        <w:topLinePunct w:val="0"/>
        <w:autoSpaceDE/>
        <w:autoSpaceDN/>
        <w:bidi w:val="0"/>
        <w:adjustRightInd/>
        <w:snapToGrid/>
        <w:ind w:firstLine="642" w:firstLineChars="200"/>
        <w:textAlignment w:val="auto"/>
        <w:rPr>
          <w:rFonts w:hint="eastAsia"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12.交通运输支出（类）公路水路运输（款）公路养护（项）</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ˎ̥" w:eastAsia="仿宋_GB2312" w:cs="Times New Roman"/>
          <w:color w:val="auto"/>
          <w:kern w:val="2"/>
          <w:sz w:val="32"/>
          <w:szCs w:val="32"/>
          <w:lang w:val="en-US" w:eastAsia="zh-CN" w:bidi="ar-SA"/>
        </w:rPr>
      </w:pPr>
      <w:r>
        <w:rPr>
          <w:rFonts w:hint="eastAsia" w:ascii="仿宋_GB2312" w:hAnsi="ˎ̥" w:eastAsia="仿宋_GB2312" w:cs="Times New Roman"/>
          <w:color w:val="auto"/>
          <w:kern w:val="2"/>
          <w:sz w:val="32"/>
          <w:szCs w:val="32"/>
          <w:lang w:val="en-US" w:eastAsia="zh-CN" w:bidi="ar-SA"/>
        </w:rPr>
        <w:t>年初预算为0万元，支出决算为0万元，完成年初预算的0%。</w:t>
      </w:r>
    </w:p>
    <w:p>
      <w:pPr>
        <w:keepNext w:val="0"/>
        <w:keepLines w:val="0"/>
        <w:pageBreakBefore w:val="0"/>
        <w:kinsoku/>
        <w:wordWrap/>
        <w:overflowPunct/>
        <w:topLinePunct w:val="0"/>
        <w:autoSpaceDE/>
        <w:autoSpaceDN/>
        <w:bidi w:val="0"/>
        <w:adjustRightInd/>
        <w:snapToGrid/>
        <w:ind w:firstLine="642" w:firstLineChars="200"/>
        <w:textAlignment w:val="auto"/>
        <w:rPr>
          <w:rFonts w:hint="eastAsia"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13.住房保障支出（类）住房改革支出（款）住房公积金（项）</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ˎ̥" w:eastAsia="仿宋_GB2312" w:cs="Times New Roman"/>
          <w:color w:val="auto"/>
          <w:kern w:val="2"/>
          <w:sz w:val="32"/>
          <w:szCs w:val="32"/>
          <w:lang w:val="en-US" w:eastAsia="zh-CN" w:bidi="ar-SA"/>
        </w:rPr>
      </w:pPr>
      <w:r>
        <w:rPr>
          <w:rFonts w:hint="eastAsia" w:ascii="仿宋_GB2312" w:hAnsi="ˎ̥" w:eastAsia="仿宋_GB2312" w:cs="Times New Roman"/>
          <w:color w:val="auto"/>
          <w:kern w:val="2"/>
          <w:sz w:val="32"/>
          <w:szCs w:val="32"/>
          <w:lang w:val="en-US" w:eastAsia="zh-CN" w:bidi="ar-SA"/>
        </w:rPr>
        <w:t>年初预算为6.66万元，支出决算为6.66万元，完成年初预算的100%。</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六、一般公共预算财政拨款基本支出决算情况说明</w:t>
      </w:r>
    </w:p>
    <w:p>
      <w:pPr>
        <w:tabs>
          <w:tab w:val="center" w:pos="4473"/>
        </w:tabs>
        <w:spacing w:line="578" w:lineRule="exact"/>
        <w:ind w:firstLine="640" w:firstLineChars="200"/>
        <w:rPr>
          <w:rFonts w:hint="eastAsia" w:ascii="仿宋_GB2312" w:hAnsi="ˎ̥" w:eastAsia="仿宋_GB2312" w:cs="Times New Roman"/>
          <w:kern w:val="2"/>
          <w:sz w:val="32"/>
          <w:szCs w:val="32"/>
          <w:highlight w:val="yellow"/>
          <w:lang w:val="en-US" w:eastAsia="zh-CN" w:bidi="ar-SA"/>
        </w:rPr>
      </w:pPr>
      <w:r>
        <w:rPr>
          <w:rFonts w:hint="eastAsia" w:ascii="仿宋_GB2312" w:hAnsi="ˎ̥" w:eastAsia="仿宋_GB2312" w:cs="Times New Roman"/>
          <w:color w:val="auto"/>
          <w:kern w:val="2"/>
          <w:sz w:val="32"/>
          <w:szCs w:val="32"/>
          <w:highlight w:val="none"/>
          <w:lang w:val="en-US" w:eastAsia="zh-CN" w:bidi="ar-SA"/>
        </w:rPr>
        <w:t>2024年度财政拨款基本支出83.56万元，其中：</w:t>
      </w:r>
      <w:r>
        <w:rPr>
          <w:rFonts w:hint="eastAsia" w:ascii="仿宋_GB2312" w:hAnsi="ˎ̥" w:eastAsia="仿宋_GB2312" w:cs="Times New Roman"/>
          <w:b/>
          <w:bCs/>
          <w:color w:val="auto"/>
          <w:kern w:val="2"/>
          <w:sz w:val="32"/>
          <w:szCs w:val="32"/>
          <w:highlight w:val="none"/>
          <w:lang w:val="en-US" w:eastAsia="zh-CN" w:bidi="ar-SA"/>
        </w:rPr>
        <w:t>人员经费</w:t>
      </w:r>
      <w:r>
        <w:rPr>
          <w:rFonts w:hint="eastAsia" w:ascii="仿宋_GB2312" w:hAnsi="ˎ̥" w:eastAsia="仿宋_GB2312" w:cs="Times New Roman"/>
          <w:color w:val="auto"/>
          <w:kern w:val="2"/>
          <w:sz w:val="32"/>
          <w:szCs w:val="32"/>
          <w:highlight w:val="none"/>
          <w:lang w:val="en-US" w:eastAsia="zh-CN" w:bidi="ar-SA"/>
        </w:rPr>
        <w:t>82.4万元，主要包括：工资福利支出中的基本工资18.6万元；津贴补贴11.47万元；绩效工资23.87万元；机关事业单位基本养老保险缴费9.23万元、职业年金缴费4.61万元、职工基本医疗保险缴费4.41万元；其他社会保障缴费0.32万元、住房公积金6.66万元；医疗费0.29万元；对个人和家庭的补助中的离休费、退休费、退职（役）费2.94万元。</w:t>
      </w:r>
      <w:r>
        <w:rPr>
          <w:rFonts w:hint="eastAsia" w:ascii="仿宋_GB2312" w:hAnsi="ˎ̥" w:eastAsia="仿宋_GB2312" w:cs="Times New Roman"/>
          <w:b/>
          <w:bCs/>
          <w:color w:val="auto"/>
          <w:kern w:val="2"/>
          <w:sz w:val="32"/>
          <w:szCs w:val="32"/>
          <w:highlight w:val="none"/>
          <w:lang w:val="en-US" w:eastAsia="zh-CN" w:bidi="ar-SA"/>
        </w:rPr>
        <w:t>公用经费</w:t>
      </w:r>
      <w:r>
        <w:rPr>
          <w:rFonts w:hint="eastAsia" w:ascii="仿宋_GB2312" w:hAnsi="ˎ̥" w:eastAsia="仿宋_GB2312" w:cs="Times New Roman"/>
          <w:color w:val="auto"/>
          <w:kern w:val="2"/>
          <w:sz w:val="32"/>
          <w:szCs w:val="32"/>
          <w:highlight w:val="none"/>
          <w:lang w:val="en-US" w:eastAsia="zh-CN" w:bidi="ar-SA"/>
        </w:rPr>
        <w:t>1.16万元，</w:t>
      </w:r>
      <w:r>
        <w:rPr>
          <w:rFonts w:hint="eastAsia" w:ascii="仿宋_GB2312" w:hAnsi="ˎ̥" w:eastAsia="仿宋_GB2312"/>
          <w:color w:val="auto"/>
          <w:sz w:val="32"/>
          <w:szCs w:val="32"/>
        </w:rPr>
        <w:t>主要包括：商品和服务支出中的邮电费</w:t>
      </w:r>
      <w:r>
        <w:rPr>
          <w:rFonts w:hint="eastAsia" w:ascii="仿宋_GB2312" w:hAnsi="ˎ̥" w:eastAsia="仿宋_GB2312"/>
          <w:color w:val="auto"/>
          <w:sz w:val="32"/>
          <w:szCs w:val="32"/>
          <w:lang w:val="en-US" w:eastAsia="zh-CN"/>
        </w:rPr>
        <w:t>0.4万元</w:t>
      </w:r>
      <w:r>
        <w:rPr>
          <w:rFonts w:hint="eastAsia" w:ascii="仿宋_GB2312" w:hAnsi="ˎ̥" w:eastAsia="仿宋_GB2312"/>
          <w:color w:val="auto"/>
          <w:sz w:val="32"/>
          <w:szCs w:val="32"/>
        </w:rPr>
        <w:t>、工会经费</w:t>
      </w:r>
      <w:r>
        <w:rPr>
          <w:rFonts w:hint="eastAsia" w:ascii="仿宋_GB2312" w:hAnsi="ˎ̥" w:eastAsia="仿宋_GB2312"/>
          <w:color w:val="auto"/>
          <w:sz w:val="32"/>
          <w:szCs w:val="32"/>
          <w:lang w:val="en-US" w:eastAsia="zh-CN"/>
        </w:rPr>
        <w:t>0.76</w:t>
      </w:r>
      <w:r>
        <w:rPr>
          <w:rFonts w:hint="eastAsia" w:ascii="仿宋_GB2312" w:hAnsi="ˎ̥" w:eastAsia="仿宋_GB2312"/>
          <w:sz w:val="32"/>
          <w:szCs w:val="32"/>
          <w:lang w:val="en-US" w:eastAsia="zh-CN"/>
        </w:rPr>
        <w:t>万元</w:t>
      </w:r>
      <w:r>
        <w:rPr>
          <w:rFonts w:hint="eastAsia" w:ascii="仿宋_GB2312" w:hAnsi="ˎ̥" w:eastAsia="仿宋_GB2312"/>
          <w:sz w:val="32"/>
          <w:szCs w:val="32"/>
        </w:rPr>
        <w:t>支出。</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无此项内容。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无此项内容。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pPr>
        <w:ind w:firstLine="640" w:firstLineChars="200"/>
        <w:rPr>
          <w:rFonts w:hint="eastAsia" w:ascii="仿宋_GB2312" w:hAnsi="ˎ̥" w:eastAsia="仿宋_GB2312"/>
          <w:color w:val="auto"/>
          <w:sz w:val="32"/>
          <w:szCs w:val="32"/>
          <w:lang w:eastAsia="zh-CN"/>
        </w:rPr>
      </w:pPr>
      <w:r>
        <w:rPr>
          <w:rFonts w:hint="eastAsia" w:ascii="仿宋_GB2312" w:hAnsi="ˎ̥" w:eastAsia="仿宋_GB2312"/>
          <w:color w:val="auto"/>
          <w:sz w:val="32"/>
          <w:szCs w:val="32"/>
          <w:lang w:eastAsia="zh-CN"/>
        </w:rPr>
        <w:t>无此项内容。</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无此项内容。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无此项内容。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（三）国有资本经营预算财政拨款支出决算具体情况。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无此项内容。</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九、财政拨款“三公”经费支出决算情况说明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pPr>
        <w:rPr>
          <w:rFonts w:hint="eastAsia" w:ascii="仿宋_GB2312" w:hAnsi="ˎ̥" w:eastAsia="仿宋_GB2312"/>
          <w:color w:val="auto"/>
          <w:sz w:val="32"/>
          <w:szCs w:val="32"/>
          <w:lang w:val="en-US"/>
        </w:rPr>
      </w:pPr>
      <w:r>
        <w:rPr>
          <w:rFonts w:hint="eastAsia" w:ascii="黑体" w:hAnsi="黑体" w:eastAsia="黑体" w:cs="黑体"/>
          <w:bCs/>
          <w:color w:val="auto"/>
          <w:sz w:val="32"/>
          <w:szCs w:val="32"/>
        </w:rPr>
        <w:t xml:space="preserve">    </w:t>
      </w:r>
      <w:r>
        <w:rPr>
          <w:rFonts w:hint="eastAsia" w:ascii="仿宋_GB2312" w:hAnsi="ˎ̥" w:eastAsia="仿宋_GB2312"/>
          <w:color w:val="auto"/>
          <w:sz w:val="32"/>
          <w:szCs w:val="32"/>
          <w:lang w:val="en-US"/>
        </w:rPr>
        <w:t>202</w:t>
      </w: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lang w:val="en-US"/>
        </w:rPr>
        <w:t>年度财政拨款“三公”经费支出预算为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lang w:val="en-US"/>
        </w:rPr>
        <w:t>万元，支出决算为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lang w:val="en-US"/>
        </w:rPr>
        <w:t>万元，完成预算的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lang w:val="en-US"/>
        </w:rPr>
        <w:t>%，与202</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lang w:val="en-US"/>
        </w:rPr>
        <w:t>年度相比，“三公”经费支出增加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lang w:val="en-US"/>
        </w:rPr>
        <w:t>万元，增长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lang w:val="en-US"/>
        </w:rPr>
        <w:t>%，主要原因是</w:t>
      </w:r>
      <w:r>
        <w:rPr>
          <w:rFonts w:hint="eastAsia" w:ascii="仿宋_GB2312" w:hAnsi="ˎ̥" w:eastAsia="仿宋_GB2312"/>
          <w:color w:val="auto"/>
          <w:sz w:val="32"/>
          <w:szCs w:val="32"/>
          <w:lang w:val="en-US" w:eastAsia="zh-CN"/>
        </w:rPr>
        <w:t>我单位为公益二类事业单位，财政无此项资金保障。</w:t>
      </w:r>
    </w:p>
    <w:p>
      <w:pPr>
        <w:rPr>
          <w:rFonts w:hint="eastAsia" w:ascii="楷体" w:hAnsi="楷体" w:eastAsia="楷体" w:cs="楷体"/>
          <w:bCs/>
          <w:color w:val="auto"/>
          <w:sz w:val="32"/>
          <w:szCs w:val="32"/>
        </w:rPr>
      </w:pPr>
      <w:r>
        <w:rPr>
          <w:rFonts w:hint="eastAsia" w:ascii="黑体" w:hAnsi="黑体" w:eastAsia="黑体" w:cs="黑体"/>
          <w:bCs/>
          <w:color w:val="auto"/>
          <w:sz w:val="32"/>
          <w:szCs w:val="32"/>
        </w:rPr>
        <w:t xml:space="preserve">    </w:t>
      </w:r>
      <w:r>
        <w:rPr>
          <w:rFonts w:hint="eastAsia" w:ascii="楷体" w:hAnsi="楷体" w:eastAsia="楷体" w:cs="楷体"/>
          <w:bCs/>
          <w:color w:val="auto"/>
          <w:sz w:val="32"/>
          <w:szCs w:val="32"/>
        </w:rPr>
        <w:t>（二）财政拨款“三公”经费支出决算具体情况说明。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rPr>
      </w:pPr>
      <w:r>
        <w:rPr>
          <w:rFonts w:hint="eastAsia" w:ascii="仿宋_GB2312" w:hAnsi="ˎ̥" w:eastAsia="仿宋_GB2312"/>
          <w:color w:val="auto"/>
          <w:sz w:val="32"/>
          <w:szCs w:val="32"/>
          <w:lang w:val="en-US"/>
        </w:rPr>
        <w:t>202</w:t>
      </w: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lang w:val="en-US"/>
        </w:rPr>
        <w:t>年度财政拨款“三公”经费支出决算中，因公出国（境）费支出决算</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lang w:val="en-US"/>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lang w:val="en-US"/>
        </w:rPr>
        <w:t>%；公务用车购置及运行维护费支出决算</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lang w:val="en-US"/>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lang w:val="en-US"/>
        </w:rPr>
        <w:t>%；公务接待费支出决算</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lang w:val="en-US"/>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lang w:val="en-US"/>
        </w:rPr>
        <w:t>%。具体情况如下：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eastAsia" w:ascii="仿宋_GB2312" w:hAnsi="ˎ̥" w:eastAsia="仿宋_GB2312"/>
          <w:color w:val="auto"/>
          <w:sz w:val="32"/>
          <w:szCs w:val="32"/>
          <w:lang w:eastAsia="zh-CN"/>
        </w:rPr>
      </w:pPr>
      <w:r>
        <w:rPr>
          <w:rFonts w:hint="eastAsia" w:ascii="仿宋_GB2312" w:hAnsi="ˎ̥" w:eastAsia="仿宋_GB2312"/>
          <w:b/>
          <w:color w:val="auto"/>
          <w:sz w:val="32"/>
          <w:szCs w:val="32"/>
          <w:lang w:val="en-US" w:eastAsia="zh-CN"/>
        </w:rPr>
        <w:t>1.</w:t>
      </w:r>
      <w:r>
        <w:rPr>
          <w:rFonts w:hint="eastAsia" w:ascii="仿宋_GB2312" w:hAnsi="ˎ̥" w:eastAsia="仿宋_GB2312"/>
          <w:b/>
          <w:color w:val="auto"/>
          <w:sz w:val="32"/>
          <w:szCs w:val="32"/>
        </w:rPr>
        <w:t>因公出国（境）费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其中：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全年安排因公出国（境）团组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个，因公出国（境）</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人次。因公出国（境）费支出决算比预算数增加（减少）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万元，增长（下降）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%。与202</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年度相比，因公出国（境）费支出增加（减少）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万元，增长（下降）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eastAsia="zh-CN"/>
        </w:rPr>
        <w:t>是</w:t>
      </w:r>
      <w:r>
        <w:rPr>
          <w:rFonts w:hint="eastAsia" w:ascii="仿宋_GB2312" w:hAnsi="ˎ̥" w:eastAsia="仿宋_GB2312"/>
          <w:color w:val="auto"/>
          <w:sz w:val="32"/>
          <w:szCs w:val="32"/>
          <w:lang w:val="en-US" w:eastAsia="zh-CN"/>
        </w:rPr>
        <w:t>我单位为公益二类事业单位，财政</w:t>
      </w:r>
      <w:r>
        <w:rPr>
          <w:rFonts w:hint="eastAsia" w:ascii="仿宋_GB2312" w:hAnsi="ˎ̥" w:eastAsia="仿宋_GB2312"/>
          <w:color w:val="auto"/>
          <w:sz w:val="32"/>
          <w:szCs w:val="32"/>
          <w:lang w:eastAsia="zh-CN"/>
        </w:rPr>
        <w:t>无此项资金保障。</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仿宋_GB2312" w:hAnsi="ˎ̥" w:eastAsia="仿宋_GB2312"/>
          <w:color w:val="auto"/>
          <w:sz w:val="32"/>
          <w:szCs w:val="32"/>
        </w:rPr>
      </w:pPr>
      <w:r>
        <w:rPr>
          <w:rFonts w:hint="eastAsia" w:ascii="仿宋_GB2312" w:hAnsi="ˎ̥" w:eastAsia="仿宋_GB2312"/>
          <w:b/>
          <w:bCs w:val="0"/>
          <w:color w:val="auto"/>
          <w:sz w:val="32"/>
          <w:szCs w:val="32"/>
        </w:rPr>
        <w:t>2.公务用车购置及运行维护费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b w:val="0"/>
          <w:bCs/>
          <w:color w:val="auto"/>
          <w:sz w:val="32"/>
          <w:szCs w:val="32"/>
        </w:rPr>
        <w:t>公务用车购置</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万元，全年购置公务用车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辆，年末公务用车保有量</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辆</w:t>
      </w:r>
      <w:r>
        <w:rPr>
          <w:rFonts w:hint="eastAsia" w:ascii="仿宋_GB2312" w:hAnsi="ˎ̥" w:eastAsia="仿宋_GB2312"/>
          <w:color w:val="auto"/>
          <w:sz w:val="32"/>
          <w:szCs w:val="32"/>
          <w:lang w:eastAsia="zh-CN"/>
        </w:rPr>
        <w:t>；</w:t>
      </w:r>
      <w:r>
        <w:rPr>
          <w:rFonts w:hint="eastAsia" w:ascii="仿宋_GB2312" w:hAnsi="ˎ̥" w:eastAsia="仿宋_GB2312"/>
          <w:b w:val="0"/>
          <w:bCs/>
          <w:color w:val="auto"/>
          <w:sz w:val="32"/>
          <w:szCs w:val="32"/>
        </w:rPr>
        <w:t>公务用车运行维护费支</w:t>
      </w:r>
      <w:r>
        <w:rPr>
          <w:rFonts w:hint="eastAsia" w:ascii="仿宋_GB2312" w:hAnsi="ˎ̥" w:eastAsia="仿宋_GB2312"/>
          <w:color w:val="auto"/>
          <w:sz w:val="32"/>
          <w:szCs w:val="32"/>
        </w:rPr>
        <w:t>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万元。公务用车购置及运行维护费支出决算数比预算数增加（减少）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万元，增长（下降）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%。与202</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年度相比，公务用车购置及运行维护费支出增加（减少）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万元，增长（下降）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eastAsia="zh-CN"/>
        </w:rPr>
        <w:t>是</w:t>
      </w:r>
      <w:r>
        <w:rPr>
          <w:rFonts w:hint="eastAsia" w:ascii="仿宋_GB2312" w:hAnsi="ˎ̥" w:eastAsia="仿宋_GB2312"/>
          <w:color w:val="auto"/>
          <w:sz w:val="32"/>
          <w:szCs w:val="32"/>
          <w:lang w:val="en-US" w:eastAsia="zh-CN"/>
        </w:rPr>
        <w:t>我单位为公益二类事业单位，财政</w:t>
      </w:r>
      <w:r>
        <w:rPr>
          <w:rFonts w:hint="eastAsia" w:ascii="仿宋_GB2312" w:hAnsi="ˎ̥" w:eastAsia="仿宋_GB2312"/>
          <w:color w:val="auto"/>
          <w:sz w:val="32"/>
          <w:szCs w:val="32"/>
          <w:lang w:eastAsia="zh-CN"/>
        </w:rPr>
        <w:t>无此项资金保障。</w:t>
      </w:r>
    </w:p>
    <w:p>
      <w:pPr>
        <w:rPr>
          <w:rFonts w:hint="eastAsia" w:ascii="仿宋_GB2312" w:hAnsi="ˎ̥" w:eastAsia="仿宋_GB2312"/>
          <w:b w:val="0"/>
          <w:bCs/>
          <w:color w:val="auto"/>
          <w:sz w:val="32"/>
          <w:szCs w:val="32"/>
        </w:rPr>
      </w:pPr>
      <w:r>
        <w:rPr>
          <w:rFonts w:hint="eastAsia" w:ascii="黑体" w:hAnsi="黑体" w:eastAsia="黑体" w:cs="黑体"/>
          <w:bCs/>
          <w:color w:val="auto"/>
          <w:sz w:val="32"/>
          <w:szCs w:val="32"/>
        </w:rPr>
        <w:t xml:space="preserve">    </w:t>
      </w:r>
      <w:r>
        <w:rPr>
          <w:rFonts w:hint="eastAsia" w:ascii="仿宋_GB2312" w:hAnsi="ˎ̥" w:eastAsia="仿宋_GB2312"/>
          <w:b/>
          <w:color w:val="auto"/>
          <w:sz w:val="32"/>
          <w:szCs w:val="32"/>
        </w:rPr>
        <w:t>3.公务接待费</w:t>
      </w:r>
      <w:r>
        <w:rPr>
          <w:rFonts w:hint="eastAsia" w:ascii="仿宋_GB2312" w:hAnsi="ˎ̥" w:eastAsia="仿宋_GB2312"/>
          <w:b w:val="0"/>
          <w:bCs/>
          <w:color w:val="auto"/>
          <w:sz w:val="32"/>
          <w:szCs w:val="32"/>
        </w:rPr>
        <w:t>支出</w:t>
      </w:r>
      <w:r>
        <w:rPr>
          <w:rFonts w:hint="eastAsia" w:ascii="仿宋_GB2312" w:hAnsi="ˎ̥" w:eastAsia="仿宋_GB2312"/>
          <w:b w:val="0"/>
          <w:bCs/>
          <w:color w:val="auto"/>
          <w:sz w:val="32"/>
          <w:szCs w:val="32"/>
          <w:lang w:val="en-US" w:eastAsia="zh-CN"/>
        </w:rPr>
        <w:t>0</w:t>
      </w:r>
      <w:r>
        <w:rPr>
          <w:rFonts w:hint="eastAsia" w:ascii="仿宋_GB2312" w:hAnsi="ˎ̥" w:eastAsia="仿宋_GB2312"/>
          <w:b w:val="0"/>
          <w:bCs/>
          <w:color w:val="auto"/>
          <w:sz w:val="32"/>
          <w:szCs w:val="32"/>
        </w:rPr>
        <w:t>万元，其中：</w:t>
      </w:r>
    </w:p>
    <w:p>
      <w:pPr>
        <w:ind w:firstLine="640" w:firstLineChars="200"/>
        <w:rPr>
          <w:rFonts w:hint="eastAsia" w:ascii="仿宋_GB2312" w:hAnsi="ˎ̥" w:eastAsia="仿宋_GB2312"/>
          <w:b w:val="0"/>
          <w:bCs/>
          <w:color w:val="auto"/>
          <w:sz w:val="32"/>
          <w:szCs w:val="32"/>
        </w:rPr>
      </w:pPr>
      <w:r>
        <w:rPr>
          <w:rFonts w:hint="eastAsia" w:ascii="仿宋_GB2312" w:hAnsi="ˎ̥" w:eastAsia="仿宋_GB2312"/>
          <w:b w:val="0"/>
          <w:bCs/>
          <w:color w:val="auto"/>
          <w:sz w:val="32"/>
          <w:szCs w:val="32"/>
        </w:rPr>
        <w:t>国内接待费支出</w:t>
      </w:r>
      <w:r>
        <w:rPr>
          <w:rFonts w:hint="eastAsia" w:ascii="仿宋_GB2312" w:hAnsi="ˎ̥" w:eastAsia="仿宋_GB2312"/>
          <w:b w:val="0"/>
          <w:bCs/>
          <w:color w:val="auto"/>
          <w:sz w:val="32"/>
          <w:szCs w:val="32"/>
          <w:lang w:val="en-US" w:eastAsia="zh-CN"/>
        </w:rPr>
        <w:t>0</w:t>
      </w:r>
      <w:r>
        <w:rPr>
          <w:rFonts w:hint="eastAsia" w:ascii="仿宋_GB2312" w:hAnsi="ˎ̥" w:eastAsia="仿宋_GB2312"/>
          <w:b w:val="0"/>
          <w:bCs/>
          <w:color w:val="auto"/>
          <w:sz w:val="32"/>
          <w:szCs w:val="32"/>
        </w:rPr>
        <w:t>万元，国内公务接待</w:t>
      </w:r>
      <w:r>
        <w:rPr>
          <w:rFonts w:hint="eastAsia" w:ascii="仿宋_GB2312" w:hAnsi="ˎ̥" w:eastAsia="仿宋_GB2312"/>
          <w:b w:val="0"/>
          <w:bCs/>
          <w:color w:val="auto"/>
          <w:sz w:val="32"/>
          <w:szCs w:val="32"/>
          <w:lang w:val="en-US" w:eastAsia="zh-CN"/>
        </w:rPr>
        <w:t>0</w:t>
      </w:r>
      <w:r>
        <w:rPr>
          <w:rFonts w:hint="eastAsia" w:ascii="仿宋_GB2312" w:hAnsi="ˎ̥" w:eastAsia="仿宋_GB2312"/>
          <w:b w:val="0"/>
          <w:bCs/>
          <w:color w:val="auto"/>
          <w:sz w:val="32"/>
          <w:szCs w:val="32"/>
        </w:rPr>
        <w:t>批次，接待</w:t>
      </w:r>
      <w:r>
        <w:rPr>
          <w:rFonts w:hint="eastAsia" w:ascii="仿宋_GB2312" w:hAnsi="ˎ̥" w:eastAsia="仿宋_GB2312"/>
          <w:b w:val="0"/>
          <w:bCs/>
          <w:color w:val="auto"/>
          <w:sz w:val="32"/>
          <w:szCs w:val="32"/>
          <w:lang w:val="en-US" w:eastAsia="zh-CN"/>
        </w:rPr>
        <w:t>0</w:t>
      </w:r>
      <w:r>
        <w:rPr>
          <w:rFonts w:hint="eastAsia" w:ascii="仿宋_GB2312" w:hAnsi="ˎ̥" w:eastAsia="仿宋_GB2312"/>
          <w:b w:val="0"/>
          <w:bCs/>
          <w:color w:val="auto"/>
          <w:sz w:val="32"/>
          <w:szCs w:val="32"/>
        </w:rPr>
        <w:t>人次；</w:t>
      </w:r>
    </w:p>
    <w:p>
      <w:pPr>
        <w:rPr>
          <w:rFonts w:hint="eastAsia" w:ascii="仿宋_GB2312" w:hAnsi="ˎ̥" w:eastAsia="仿宋_GB2312"/>
          <w:color w:val="auto"/>
          <w:sz w:val="32"/>
          <w:szCs w:val="32"/>
        </w:rPr>
      </w:pPr>
      <w:r>
        <w:rPr>
          <w:rFonts w:hint="eastAsia" w:ascii="仿宋_GB2312" w:hAnsi="ˎ̥" w:eastAsia="仿宋_GB2312"/>
          <w:b w:val="0"/>
          <w:bCs/>
          <w:color w:val="auto"/>
          <w:sz w:val="32"/>
          <w:szCs w:val="32"/>
        </w:rPr>
        <w:t>国（境）外接待费</w:t>
      </w:r>
      <w:r>
        <w:rPr>
          <w:rFonts w:hint="eastAsia" w:ascii="仿宋_GB2312" w:hAnsi="ˎ̥" w:eastAsia="仿宋_GB2312"/>
          <w:b w:val="0"/>
          <w:bCs/>
          <w:color w:val="auto"/>
          <w:sz w:val="32"/>
          <w:szCs w:val="32"/>
          <w:lang w:val="en-US" w:eastAsia="zh-CN"/>
        </w:rPr>
        <w:t>支出0万元，国（境）外公务接待0批次，接待0人次；</w:t>
      </w:r>
      <w:r>
        <w:rPr>
          <w:rFonts w:hint="eastAsia" w:ascii="仿宋_GB2312" w:hAnsi="ˎ̥" w:eastAsia="仿宋_GB2312"/>
          <w:color w:val="auto"/>
          <w:sz w:val="32"/>
          <w:szCs w:val="32"/>
        </w:rPr>
        <w:t>公务接待费支出决算数比预算数增加（减少）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万元，增长（下降）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%。与202</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年度相比，公务接待费支出增加（减少）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万元，增长（下降）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eastAsia="zh-CN"/>
        </w:rPr>
        <w:t>是</w:t>
      </w:r>
      <w:r>
        <w:rPr>
          <w:rFonts w:hint="eastAsia" w:ascii="仿宋_GB2312" w:hAnsi="ˎ̥" w:eastAsia="仿宋_GB2312"/>
          <w:color w:val="auto"/>
          <w:sz w:val="32"/>
          <w:szCs w:val="32"/>
          <w:lang w:val="en-US" w:eastAsia="zh-CN"/>
        </w:rPr>
        <w:t>我单位为公益二类事业单位，财政</w:t>
      </w:r>
      <w:r>
        <w:rPr>
          <w:rFonts w:hint="eastAsia" w:ascii="仿宋_GB2312" w:hAnsi="ˎ̥" w:eastAsia="仿宋_GB2312"/>
          <w:color w:val="auto"/>
          <w:sz w:val="32"/>
          <w:szCs w:val="32"/>
          <w:lang w:eastAsia="zh-CN"/>
        </w:rPr>
        <w:t>无此项资金保障。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根据财政预算绩效管理要求，我部门组织对</w:t>
      </w:r>
      <w:r>
        <w:rPr>
          <w:rFonts w:hint="default" w:ascii="仿宋_GB2312" w:eastAsia="仿宋_GB2312"/>
          <w:color w:val="auto"/>
          <w:sz w:val="32"/>
          <w:szCs w:val="32"/>
          <w:lang w:val="en-US"/>
        </w:rPr>
        <w:t>2024</w:t>
      </w:r>
      <w:r>
        <w:rPr>
          <w:rFonts w:hint="eastAsia" w:ascii="仿宋_GB2312" w:eastAsia="仿宋_GB2312"/>
          <w:color w:val="auto"/>
          <w:sz w:val="32"/>
          <w:szCs w:val="32"/>
        </w:rPr>
        <w:t>年度一般公共预算项目支出全面开展绩效自评</w:t>
      </w:r>
      <w:r>
        <w:rPr>
          <w:rFonts w:hint="default" w:ascii="仿宋_GB2312" w:eastAsia="仿宋_GB2312"/>
          <w:color w:val="auto"/>
          <w:sz w:val="32"/>
          <w:szCs w:val="32"/>
          <w:lang w:val="en-US"/>
        </w:rPr>
        <w:t>,</w:t>
      </w:r>
      <w:r>
        <w:rPr>
          <w:rFonts w:hint="eastAsia" w:ascii="仿宋_GB2312" w:eastAsia="仿宋_GB2312"/>
          <w:color w:val="auto"/>
          <w:sz w:val="32"/>
          <w:szCs w:val="32"/>
        </w:rPr>
        <w:t>共涉及资金</w:t>
      </w:r>
      <w:r>
        <w:rPr>
          <w:rFonts w:hint="eastAsia" w:ascii="仿宋_GB2312" w:eastAsia="仿宋_GB2312"/>
          <w:color w:val="auto"/>
          <w:sz w:val="32"/>
          <w:szCs w:val="32"/>
          <w:lang w:val="en-US" w:eastAsia="zh-CN"/>
        </w:rPr>
        <w:t>668.72</w:t>
      </w:r>
      <w:r>
        <w:rPr>
          <w:rFonts w:hint="eastAsia" w:ascii="仿宋_GB2312" w:eastAsia="仿宋_GB2312"/>
          <w:color w:val="auto"/>
          <w:sz w:val="32"/>
          <w:szCs w:val="32"/>
        </w:rPr>
        <w:t>万元，占一般公共预算支出总额的</w:t>
      </w:r>
      <w:r>
        <w:rPr>
          <w:rFonts w:hint="eastAsia" w:ascii="仿宋_GB2312" w:eastAsia="仿宋_GB2312"/>
          <w:color w:val="auto"/>
          <w:sz w:val="32"/>
          <w:szCs w:val="32"/>
          <w:lang w:val="en-US" w:eastAsia="zh-CN"/>
        </w:rPr>
        <w:t>88.89</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我场</w:t>
      </w:r>
      <w:r>
        <w:rPr>
          <w:rFonts w:hint="eastAsia" w:ascii="仿宋_GB2312" w:eastAsia="仿宋_GB2312"/>
          <w:color w:val="auto"/>
          <w:sz w:val="32"/>
          <w:szCs w:val="32"/>
        </w:rPr>
        <w:t>对</w:t>
      </w:r>
      <w:r>
        <w:rPr>
          <w:rFonts w:hint="eastAsia" w:ascii="仿宋_GB2312" w:eastAsia="仿宋_GB2312"/>
          <w:color w:val="auto"/>
          <w:sz w:val="32"/>
          <w:szCs w:val="32"/>
          <w:lang w:val="en-US" w:eastAsia="zh-CN"/>
        </w:rPr>
        <w:t>森林资源管护</w:t>
      </w:r>
      <w:r>
        <w:rPr>
          <w:rFonts w:hint="eastAsia" w:ascii="仿宋_GB2312" w:eastAsia="仿宋_GB2312"/>
          <w:color w:val="auto"/>
          <w:sz w:val="32"/>
          <w:szCs w:val="32"/>
        </w:rPr>
        <w:t>项目开展了部门评价</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森林资源管护项目，涉及资金426.24万元，占一般公共预算项目支出总额的63.74%；</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部门决算中项目绩效自评结果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我单位在部门决算中反映森林资源管护项目绩效自评结果。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森林资源管护项目资金项目绩效自评报告：根据年初设定的绩效目标，项目绩效自评得分为90分。全年预算数为429.69万元，执行数为426.24万元，完成预算的99.18%。</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项目绩效目标完成情况：项目资金及时到位率100%；项目支出均按财政批复预算执行，总体支出率99.18%；各项资金按项目目标执行，使项目达到预定目标值。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发现的主要问题及原因：群众非法侵占林地进行林下种植时有发生；林场缺乏相应的专业人才。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下一步改进措施：一是加强监督和管理，加大宣传森林法力度。二是完善队伍建设，提升管理、服务水平，加大专业人才的引进，加强职业教育培训，提高专业技能和服务水平。</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部门评价结果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无此项内容。</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财政评价结果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无此项内容。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十一、其他重要事项情况说明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95" w:name="_Toc15565_WPSOffice_Level2"/>
      <w:bookmarkStart w:id="96" w:name="_Toc23598_WPSOffice_Level2"/>
      <w:bookmarkStart w:id="97" w:name="_Toc18325_WPSOffice_Level2"/>
      <w:bookmarkStart w:id="98" w:name="_Toc32639_WPSOffice_Level2"/>
      <w:bookmarkStart w:id="99" w:name="_Toc15262_WPSOffice_Level2"/>
      <w:bookmarkStart w:id="100" w:name="_Toc5978_WPSOffice_Level2"/>
      <w:r>
        <w:rPr>
          <w:rFonts w:hint="eastAsia" w:ascii="楷体" w:hAnsi="楷体" w:eastAsia="楷体" w:cs="楷体"/>
          <w:bCs/>
          <w:color w:val="auto"/>
          <w:sz w:val="32"/>
          <w:szCs w:val="32"/>
        </w:rPr>
        <w:t>（一）机关运行经费支出情况。</w:t>
      </w:r>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我单位无此项内容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1" w:name="_Toc13084_WPSOffice_Level2"/>
      <w:bookmarkStart w:id="102" w:name="_Toc23966_WPSOffice_Level2"/>
      <w:bookmarkStart w:id="103" w:name="_Toc25333_WPSOffice_Level2"/>
      <w:bookmarkStart w:id="104" w:name="_Toc32689_WPSOffice_Level2"/>
      <w:bookmarkStart w:id="105" w:name="_Toc30383_WPSOffice_Level2"/>
      <w:bookmarkStart w:id="106" w:name="_Toc3131_WPSOffice_Level2"/>
      <w:r>
        <w:rPr>
          <w:rFonts w:hint="eastAsia" w:ascii="楷体" w:hAnsi="楷体" w:eastAsia="楷体" w:cs="楷体"/>
          <w:bCs/>
          <w:color w:val="auto"/>
          <w:sz w:val="32"/>
          <w:szCs w:val="32"/>
        </w:rPr>
        <w:t>（二）政府采购支出情况。</w:t>
      </w:r>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bookmarkStart w:id="107" w:name="_Toc6016_WPSOffice_Level2"/>
      <w:bookmarkStart w:id="108" w:name="_Toc19989_WPSOffice_Level2"/>
      <w:bookmarkStart w:id="109" w:name="_Toc29584_WPSOffice_Level2"/>
      <w:bookmarkStart w:id="110" w:name="_Toc10902_WPSOffice_Level2"/>
      <w:bookmarkStart w:id="111" w:name="_Toc527_WPSOffice_Level2"/>
      <w:bookmarkStart w:id="112" w:name="_Toc15129_WPSOffice_Level2"/>
      <w:r>
        <w:rPr>
          <w:rFonts w:hint="eastAsia" w:ascii="仿宋_GB2312" w:hAnsi="ˎ̥" w:eastAsia="仿宋_GB2312"/>
          <w:color w:val="auto"/>
          <w:sz w:val="32"/>
          <w:szCs w:val="32"/>
          <w:lang w:val="en-US" w:eastAsia="zh-CN"/>
        </w:rPr>
        <w:t>我单位无此项内容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（三）国有资产占用情况。</w:t>
      </w:r>
      <w:bookmarkEnd w:id="107"/>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color w:val="auto"/>
          <w:sz w:val="32"/>
          <w:szCs w:val="32"/>
        </w:rPr>
      </w:pPr>
      <w:r>
        <w:rPr>
          <w:rFonts w:hint="eastAsia" w:ascii="仿宋_GB2312" w:hAnsi="ˎ̥" w:eastAsia="仿宋_GB2312"/>
          <w:bCs/>
          <w:color w:val="auto"/>
          <w:sz w:val="32"/>
          <w:szCs w:val="32"/>
        </w:rPr>
        <w:t>截至202</w:t>
      </w:r>
      <w:r>
        <w:rPr>
          <w:rFonts w:hint="eastAsia" w:ascii="仿宋_GB2312" w:hAnsi="ˎ̥" w:eastAsia="仿宋_GB2312"/>
          <w:bCs/>
          <w:color w:val="auto"/>
          <w:sz w:val="32"/>
          <w:szCs w:val="32"/>
          <w:lang w:val="en-US" w:eastAsia="zh-CN"/>
        </w:rPr>
        <w:t>4</w:t>
      </w:r>
      <w:r>
        <w:rPr>
          <w:rFonts w:hint="eastAsia" w:ascii="仿宋_GB2312" w:hAnsi="ˎ̥" w:eastAsia="仿宋_GB2312"/>
          <w:bCs/>
          <w:color w:val="auto"/>
          <w:sz w:val="32"/>
          <w:szCs w:val="32"/>
        </w:rPr>
        <w:t>年12月31日，</w:t>
      </w:r>
      <w:r>
        <w:rPr>
          <w:rFonts w:hint="eastAsia" w:ascii="仿宋_GB2312" w:hAnsi="ˎ̥" w:eastAsia="仿宋_GB2312"/>
          <w:bCs/>
          <w:color w:val="auto"/>
          <w:sz w:val="32"/>
          <w:szCs w:val="32"/>
          <w:lang w:eastAsia="zh-CN"/>
        </w:rPr>
        <w:t>我场</w:t>
      </w:r>
      <w:r>
        <w:rPr>
          <w:rFonts w:hint="eastAsia" w:ascii="仿宋_GB2312" w:hAnsi="ˎ̥" w:eastAsia="仿宋_GB2312"/>
          <w:bCs/>
          <w:color w:val="auto"/>
          <w:sz w:val="32"/>
          <w:szCs w:val="32"/>
        </w:rPr>
        <w:t>拥有房屋面积</w:t>
      </w:r>
      <w:r>
        <w:rPr>
          <w:rFonts w:hint="eastAsia" w:ascii="仿宋_GB2312" w:hAnsi="ˎ̥" w:eastAsia="仿宋_GB2312"/>
          <w:bCs/>
          <w:color w:val="auto"/>
          <w:sz w:val="32"/>
          <w:szCs w:val="32"/>
          <w:lang w:val="en-US" w:eastAsia="zh-CN"/>
        </w:rPr>
        <w:t>0</w:t>
      </w:r>
      <w:r>
        <w:rPr>
          <w:rFonts w:hint="eastAsia" w:ascii="仿宋_GB2312" w:hAnsi="ˎ̥" w:eastAsia="仿宋_GB2312"/>
          <w:bCs/>
          <w:color w:val="auto"/>
          <w:sz w:val="32"/>
          <w:szCs w:val="32"/>
        </w:rPr>
        <w:t>平方米，其中：办公用房</w:t>
      </w:r>
      <w:r>
        <w:rPr>
          <w:rFonts w:hint="eastAsia" w:ascii="仿宋_GB2312" w:hAnsi="ˎ̥" w:eastAsia="仿宋_GB2312"/>
          <w:bCs/>
          <w:color w:val="auto"/>
          <w:sz w:val="32"/>
          <w:szCs w:val="32"/>
          <w:lang w:val="en-US" w:eastAsia="zh-CN"/>
        </w:rPr>
        <w:t>0</w:t>
      </w:r>
      <w:r>
        <w:rPr>
          <w:rFonts w:hint="eastAsia" w:ascii="仿宋_GB2312" w:hAnsi="ˎ̥" w:eastAsia="仿宋_GB2312"/>
          <w:bCs/>
          <w:color w:val="auto"/>
          <w:sz w:val="32"/>
          <w:szCs w:val="32"/>
        </w:rPr>
        <w:t>平方米，业务用房</w:t>
      </w:r>
      <w:r>
        <w:rPr>
          <w:rFonts w:hint="eastAsia" w:ascii="仿宋_GB2312" w:hAnsi="ˎ̥" w:eastAsia="仿宋_GB2312"/>
          <w:bCs/>
          <w:color w:val="auto"/>
          <w:sz w:val="32"/>
          <w:szCs w:val="32"/>
          <w:lang w:val="en-US" w:eastAsia="zh-CN"/>
        </w:rPr>
        <w:t>0</w:t>
      </w:r>
      <w:r>
        <w:rPr>
          <w:rFonts w:hint="eastAsia" w:ascii="仿宋_GB2312" w:hAnsi="ˎ̥" w:eastAsia="仿宋_GB2312"/>
          <w:bCs/>
          <w:color w:val="auto"/>
          <w:sz w:val="32"/>
          <w:szCs w:val="32"/>
        </w:rPr>
        <w:t>平方米，其他（不含构筑物）</w:t>
      </w:r>
      <w:r>
        <w:rPr>
          <w:rFonts w:hint="eastAsia" w:ascii="仿宋_GB2312" w:hAnsi="ˎ̥" w:eastAsia="仿宋_GB2312"/>
          <w:bCs/>
          <w:color w:val="auto"/>
          <w:sz w:val="32"/>
          <w:szCs w:val="32"/>
          <w:lang w:val="en-US" w:eastAsia="zh-CN"/>
        </w:rPr>
        <w:t>0</w:t>
      </w:r>
      <w:r>
        <w:rPr>
          <w:rFonts w:hint="eastAsia" w:ascii="仿宋_GB2312" w:hAnsi="ˎ̥" w:eastAsia="仿宋_GB2312"/>
          <w:bCs/>
          <w:color w:val="auto"/>
          <w:sz w:val="32"/>
          <w:szCs w:val="32"/>
        </w:rPr>
        <w:t>平方米。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color w:val="auto"/>
          <w:sz w:val="32"/>
          <w:szCs w:val="32"/>
        </w:rPr>
      </w:pPr>
      <w:r>
        <w:rPr>
          <w:rFonts w:hint="eastAsia" w:ascii="仿宋_GB2312" w:hAnsi="ˎ̥" w:eastAsia="仿宋_GB2312"/>
          <w:bCs/>
          <w:color w:val="auto"/>
          <w:sz w:val="32"/>
          <w:szCs w:val="32"/>
          <w:lang w:eastAsia="zh-CN"/>
        </w:rPr>
        <w:t>我场</w:t>
      </w:r>
      <w:r>
        <w:rPr>
          <w:rFonts w:hint="eastAsia" w:ascii="仿宋_GB2312" w:hAnsi="ˎ̥" w:eastAsia="仿宋_GB2312"/>
          <w:bCs/>
          <w:color w:val="auto"/>
          <w:sz w:val="32"/>
          <w:szCs w:val="32"/>
        </w:rPr>
        <w:t>共有车辆</w:t>
      </w:r>
      <w:r>
        <w:rPr>
          <w:rFonts w:hint="eastAsia" w:ascii="仿宋_GB2312" w:hAnsi="ˎ̥" w:eastAsia="仿宋_GB2312"/>
          <w:bCs/>
          <w:color w:val="auto"/>
          <w:sz w:val="32"/>
          <w:szCs w:val="32"/>
          <w:lang w:val="en-US" w:eastAsia="zh-CN"/>
        </w:rPr>
        <w:t>1</w:t>
      </w:r>
      <w:r>
        <w:rPr>
          <w:rFonts w:hint="eastAsia" w:ascii="仿宋_GB2312" w:hAnsi="ˎ̥" w:eastAsia="仿宋_GB2312"/>
          <w:bCs/>
          <w:color w:val="auto"/>
          <w:sz w:val="32"/>
          <w:szCs w:val="32"/>
        </w:rPr>
        <w:t>辆，</w:t>
      </w:r>
      <w:r>
        <w:rPr>
          <w:rFonts w:hint="eastAsia" w:ascii="仿宋_GB2312" w:hAnsi="ˎ̥" w:eastAsia="仿宋_GB2312"/>
          <w:bCs/>
          <w:color w:val="auto"/>
          <w:sz w:val="32"/>
          <w:szCs w:val="32"/>
          <w:lang w:eastAsia="zh-CN"/>
        </w:rPr>
        <w:t>为</w:t>
      </w:r>
      <w:r>
        <w:rPr>
          <w:rFonts w:hint="eastAsia" w:ascii="仿宋_GB2312" w:hAnsi="ˎ̥" w:eastAsia="仿宋_GB2312"/>
          <w:bCs/>
          <w:color w:val="auto"/>
          <w:sz w:val="32"/>
          <w:szCs w:val="32"/>
        </w:rPr>
        <w:t>其他用车，</w:t>
      </w:r>
      <w:r>
        <w:rPr>
          <w:rFonts w:hint="eastAsia" w:ascii="仿宋_GB2312" w:hAnsi="ˎ̥" w:eastAsia="仿宋_GB2312"/>
          <w:bCs/>
          <w:color w:val="auto"/>
          <w:sz w:val="32"/>
          <w:szCs w:val="32"/>
          <w:lang w:eastAsia="zh-CN"/>
        </w:rPr>
        <w:t>该车辆</w:t>
      </w:r>
      <w:r>
        <w:rPr>
          <w:rFonts w:hint="eastAsia" w:ascii="仿宋_GB2312" w:hAnsi="ˎ̥" w:eastAsia="仿宋_GB2312"/>
          <w:bCs/>
          <w:color w:val="auto"/>
          <w:sz w:val="32"/>
          <w:szCs w:val="32"/>
        </w:rPr>
        <w:t>主要是</w:t>
      </w:r>
      <w:r>
        <w:rPr>
          <w:rFonts w:hint="eastAsia" w:ascii="仿宋_GB2312" w:hAnsi="ˎ̥" w:eastAsia="仿宋_GB2312"/>
          <w:bCs/>
          <w:color w:val="auto"/>
          <w:sz w:val="32"/>
          <w:szCs w:val="32"/>
          <w:lang w:eastAsia="zh-CN"/>
        </w:rPr>
        <w:t>是方便非管护人员到各站点工作及单位日常工作使用</w:t>
      </w:r>
      <w:r>
        <w:rPr>
          <w:rFonts w:hint="eastAsia" w:ascii="仿宋_GB2312" w:hAnsi="ˎ̥" w:eastAsia="仿宋_GB2312"/>
          <w:bCs/>
          <w:color w:val="auto"/>
          <w:sz w:val="32"/>
          <w:szCs w:val="32"/>
        </w:rPr>
        <w:t>。单价100万元（含）以上设备（不含车辆）</w:t>
      </w:r>
      <w:r>
        <w:rPr>
          <w:rFonts w:hint="eastAsia" w:ascii="仿宋_GB2312" w:hAnsi="ˎ̥" w:eastAsia="仿宋_GB2312"/>
          <w:bCs/>
          <w:color w:val="auto"/>
          <w:sz w:val="32"/>
          <w:szCs w:val="32"/>
          <w:lang w:val="en-US" w:eastAsia="zh-CN"/>
        </w:rPr>
        <w:t>0</w:t>
      </w:r>
      <w:r>
        <w:rPr>
          <w:rFonts w:hint="eastAsia" w:ascii="仿宋_GB2312" w:hAnsi="ˎ̥" w:eastAsia="仿宋_GB2312"/>
          <w:bCs/>
          <w:color w:val="auto"/>
          <w:sz w:val="32"/>
          <w:szCs w:val="32"/>
        </w:rPr>
        <w:t>台（套）。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仿宋_GB2312" w:hAnsi="ˎ̥" w:eastAsia="仿宋_GB2312"/>
          <w:bCs/>
          <w:color w:val="auto"/>
          <w:sz w:val="32"/>
          <w:szCs w:val="32"/>
        </w:rPr>
        <w:t>年末在建工程</w:t>
      </w:r>
      <w:r>
        <w:rPr>
          <w:rFonts w:hint="eastAsia" w:ascii="仿宋_GB2312" w:hAnsi="ˎ̥" w:eastAsia="仿宋_GB2312"/>
          <w:bCs/>
          <w:color w:val="auto"/>
          <w:sz w:val="32"/>
          <w:szCs w:val="32"/>
          <w:lang w:val="en-US" w:eastAsia="zh-CN"/>
        </w:rPr>
        <w:t>0</w:t>
      </w:r>
      <w:r>
        <w:rPr>
          <w:rFonts w:hint="eastAsia" w:ascii="仿宋_GB2312" w:hAnsi="ˎ̥" w:eastAsia="仿宋_GB2312"/>
          <w:bCs/>
          <w:color w:val="auto"/>
          <w:sz w:val="32"/>
          <w:szCs w:val="32"/>
        </w:rPr>
        <w:t>万元。</w:t>
      </w:r>
      <w:bookmarkStart w:id="113" w:name="_Toc4398_WPSOffice_Level1"/>
      <w:bookmarkStart w:id="114" w:name="_Toc8874_WPSOffice_Level1"/>
      <w:bookmarkStart w:id="115" w:name="_Toc17580_WPSOffice_Level1"/>
      <w:bookmarkStart w:id="116" w:name="_Toc11039_WPSOffice_Level1"/>
      <w:bookmarkStart w:id="117" w:name="_Toc8808_WPSOffice_Level1"/>
      <w:bookmarkStart w:id="118" w:name="_Toc15425_WPSOffice_Level1"/>
      <w:bookmarkStart w:id="119" w:name="_GoBack"/>
      <w:bookmarkEnd w:id="119"/>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r>
        <w:rPr>
          <w:rFonts w:hint="eastAsia" w:ascii="黑体" w:hAnsi="ˎ̥" w:eastAsia="黑体"/>
          <w:color w:val="auto"/>
          <w:sz w:val="32"/>
          <w:szCs w:val="32"/>
        </w:rPr>
        <w:t xml:space="preserve"> 名词解释</w:t>
      </w:r>
      <w:bookmarkEnd w:id="113"/>
      <w:bookmarkEnd w:id="114"/>
      <w:bookmarkEnd w:id="115"/>
      <w:bookmarkEnd w:id="116"/>
      <w:bookmarkEnd w:id="117"/>
      <w:bookmarkEnd w:id="118"/>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ˎ̥" w:eastAsia="黑体"/>
          <w:color w:val="auto"/>
          <w:sz w:val="32"/>
          <w:szCs w:val="32"/>
        </w:rPr>
      </w:pP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财政拨款收入：指同级政府财政部门当年拨付的各类财政拨款。</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上级补助收入：指事业单位从主管部门和上级单位取得的非财政补助收入。</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事业收入：指事业单位开展专业业务活动及辅助活动取得的收入。</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经营收入：指事业单位在专业业务活动及其辅助活动之外开展非独立核算经营活动取得的收入。</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附属单位上缴收入：指事业单位取得附属独立核算单位根据有关规定上缴的收入。</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其他收入：指除上述“财政拨款收入”“事业收入”“上级补助收入”“经营收入”“附属单位上缴收入”等以外的收入。</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年初结转和结余：指以前年度尚未完成、结转到本年按有关规定继续使用的资金，或项目已完成等产生的结余资金。</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结余分配：指事业单位缴纳企业所得税以及从非财政拨款结余或经营结余中提取各类结余的情况。</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基本支出：指为保障机构正常运转、完成日常工作任务而发生的人员支出和公用支出。</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项目支出：指在基本支出之外为完成特定行政任务和事业发展目标所发生的支出。</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经营支出：指事业单位在专业业务活动及其辅助活动之外开展非独立核算经营活动发生的支出。</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三公”经费：纳入本级财政预决算管理的“三公”经费，是指用一般公共预算财政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Cs/>
          <w:color w:val="auto"/>
          <w:sz w:val="32"/>
          <w:szCs w:val="32"/>
        </w:rPr>
      </w:pPr>
      <w:r>
        <w:rPr>
          <w:rFonts w:hint="eastAsia" w:ascii="仿宋_GB2312" w:hAnsi="ˎ̥" w:eastAsia="仿宋_GB2312"/>
          <w:color w:val="auto"/>
          <w:sz w:val="32"/>
          <w:szCs w:val="32"/>
        </w:rPr>
        <w:t>（注：支出功能分类的名词解释，各部门（单位）根据实际支出情况填列，可参阅财政部印发的《202</w:t>
      </w: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rPr>
        <w:t>年政府收支分类科目》）</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ascii="CESI仿宋-GB2312" w:hAnsi="CESI仿宋-GB2312" w:eastAsia="CESI仿宋-GB2312" w:cs="CESI仿宋-GB2312"/>
      </w:rPr>
    </w:lvl>
  </w:abstractNum>
  <w:abstractNum w:abstractNumId="1">
    <w:nsid w:val="DDBF51AB"/>
    <w:multiLevelType w:val="singleLevel"/>
    <w:tmpl w:val="DDBF51AB"/>
    <w:lvl w:ilvl="0" w:tentative="0">
      <w:start w:val="4"/>
      <w:numFmt w:val="chineseCounting"/>
      <w:suff w:val="space"/>
      <w:lvlText w:val="第%1部分"/>
      <w:lvlJc w:val="left"/>
      <w:rPr>
        <w:rFonts w:hint="eastAsia"/>
      </w:rPr>
    </w:lvl>
  </w:abstractNum>
  <w:abstractNum w:abstractNumId="2">
    <w:nsid w:val="FDFEEA20"/>
    <w:multiLevelType w:val="singleLevel"/>
    <w:tmpl w:val="FDFEEA20"/>
    <w:lvl w:ilvl="0" w:tentative="0">
      <w:start w:val="2"/>
      <w:numFmt w:val="chineseCounting"/>
      <w:suff w:val="nothing"/>
      <w:lvlText w:val="（%1）"/>
      <w:lvlJc w:val="left"/>
      <w:rPr>
        <w:rFonts w:hint="eastAsia"/>
      </w:rPr>
    </w:lvl>
  </w:abstractNum>
  <w:abstractNum w:abstractNumId="3">
    <w:nsid w:val="FF2B3CA8"/>
    <w:multiLevelType w:val="singleLevel"/>
    <w:tmpl w:val="FF2B3CA8"/>
    <w:lvl w:ilvl="0" w:tentative="0">
      <w:start w:val="1"/>
      <w:numFmt w:val="chineseCounting"/>
      <w:suff w:val="nothing"/>
      <w:lvlText w:val="%1、"/>
      <w:lvlJc w:val="left"/>
      <w:rPr>
        <w:rFonts w:hint="eastAsia"/>
      </w:rPr>
    </w:lvl>
  </w:abstractNum>
  <w:abstractNum w:abstractNumId="4">
    <w:nsid w:val="72109F8D"/>
    <w:multiLevelType w:val="singleLevel"/>
    <w:tmpl w:val="72109F8D"/>
    <w:lvl w:ilvl="0" w:tentative="0">
      <w:start w:val="7"/>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79B2658"/>
    <w:rsid w:val="07E71965"/>
    <w:rsid w:val="081A3E22"/>
    <w:rsid w:val="09201287"/>
    <w:rsid w:val="0BD9B1EF"/>
    <w:rsid w:val="0E6FE3A9"/>
    <w:rsid w:val="0ED56B0C"/>
    <w:rsid w:val="0FC80124"/>
    <w:rsid w:val="136F98C7"/>
    <w:rsid w:val="17427E68"/>
    <w:rsid w:val="1755065F"/>
    <w:rsid w:val="181546B4"/>
    <w:rsid w:val="18E72CEE"/>
    <w:rsid w:val="199AC41C"/>
    <w:rsid w:val="1A673272"/>
    <w:rsid w:val="1A9F759E"/>
    <w:rsid w:val="1AFC29C9"/>
    <w:rsid w:val="1CA52F2E"/>
    <w:rsid w:val="1DE7D417"/>
    <w:rsid w:val="1E3630B9"/>
    <w:rsid w:val="1E8E0351"/>
    <w:rsid w:val="1FFE92CD"/>
    <w:rsid w:val="20C8608F"/>
    <w:rsid w:val="21F506E7"/>
    <w:rsid w:val="26EEC2B5"/>
    <w:rsid w:val="27E86D24"/>
    <w:rsid w:val="29472309"/>
    <w:rsid w:val="296B6992"/>
    <w:rsid w:val="2A1C5034"/>
    <w:rsid w:val="2A782181"/>
    <w:rsid w:val="2AED26CF"/>
    <w:rsid w:val="2B406E77"/>
    <w:rsid w:val="2C2A0C43"/>
    <w:rsid w:val="2C747963"/>
    <w:rsid w:val="2D1E73A5"/>
    <w:rsid w:val="2FFFA9B9"/>
    <w:rsid w:val="324E4261"/>
    <w:rsid w:val="32717154"/>
    <w:rsid w:val="34B63260"/>
    <w:rsid w:val="36FBF7AD"/>
    <w:rsid w:val="37DF40F3"/>
    <w:rsid w:val="37F762BA"/>
    <w:rsid w:val="37FDA7E2"/>
    <w:rsid w:val="3A314D88"/>
    <w:rsid w:val="3A746883"/>
    <w:rsid w:val="3B794840"/>
    <w:rsid w:val="3C9E3E57"/>
    <w:rsid w:val="3CA15DE9"/>
    <w:rsid w:val="3F6F5D69"/>
    <w:rsid w:val="3F8D3E32"/>
    <w:rsid w:val="3F97C939"/>
    <w:rsid w:val="3FE61EE5"/>
    <w:rsid w:val="3FF11C13"/>
    <w:rsid w:val="3FFF34E0"/>
    <w:rsid w:val="406508EE"/>
    <w:rsid w:val="408D6263"/>
    <w:rsid w:val="41B40CEE"/>
    <w:rsid w:val="447F4114"/>
    <w:rsid w:val="47BFE802"/>
    <w:rsid w:val="47FD30B1"/>
    <w:rsid w:val="47FE1579"/>
    <w:rsid w:val="48317291"/>
    <w:rsid w:val="485F7024"/>
    <w:rsid w:val="48E70666"/>
    <w:rsid w:val="494E2307"/>
    <w:rsid w:val="4A350B54"/>
    <w:rsid w:val="4C6877E5"/>
    <w:rsid w:val="4D6A468D"/>
    <w:rsid w:val="4DFB34AE"/>
    <w:rsid w:val="4EA86137"/>
    <w:rsid w:val="50CD445E"/>
    <w:rsid w:val="5385213F"/>
    <w:rsid w:val="541A06CA"/>
    <w:rsid w:val="563B1EEE"/>
    <w:rsid w:val="56CA7FD0"/>
    <w:rsid w:val="57DF914F"/>
    <w:rsid w:val="57FA38D1"/>
    <w:rsid w:val="57FFF3BA"/>
    <w:rsid w:val="59FD70AC"/>
    <w:rsid w:val="5B775CEC"/>
    <w:rsid w:val="5CAF138F"/>
    <w:rsid w:val="5D7FC3CC"/>
    <w:rsid w:val="5DDF3282"/>
    <w:rsid w:val="5DF6585D"/>
    <w:rsid w:val="5EBE5E7F"/>
    <w:rsid w:val="5EEC3583"/>
    <w:rsid w:val="5EEF6756"/>
    <w:rsid w:val="5EFFF812"/>
    <w:rsid w:val="5F4B32D9"/>
    <w:rsid w:val="5F7D3333"/>
    <w:rsid w:val="5FD73CB3"/>
    <w:rsid w:val="5FEE7D55"/>
    <w:rsid w:val="5FF79E29"/>
    <w:rsid w:val="61385890"/>
    <w:rsid w:val="657B2AB0"/>
    <w:rsid w:val="65AB0767"/>
    <w:rsid w:val="65F78C0E"/>
    <w:rsid w:val="66BF63A7"/>
    <w:rsid w:val="66FFA4D9"/>
    <w:rsid w:val="67FF6ECF"/>
    <w:rsid w:val="687436E1"/>
    <w:rsid w:val="692F7608"/>
    <w:rsid w:val="6AFF2420"/>
    <w:rsid w:val="6B3250DF"/>
    <w:rsid w:val="6DA45C50"/>
    <w:rsid w:val="6DFFC59C"/>
    <w:rsid w:val="6E9A7825"/>
    <w:rsid w:val="6EE77746"/>
    <w:rsid w:val="6EED3DE8"/>
    <w:rsid w:val="6F670F9B"/>
    <w:rsid w:val="6FB1948C"/>
    <w:rsid w:val="6FBD6FFF"/>
    <w:rsid w:val="719BA213"/>
    <w:rsid w:val="71FE43EC"/>
    <w:rsid w:val="722A3B42"/>
    <w:rsid w:val="72D799D4"/>
    <w:rsid w:val="737450E0"/>
    <w:rsid w:val="74054476"/>
    <w:rsid w:val="742F38C4"/>
    <w:rsid w:val="74AB66DC"/>
    <w:rsid w:val="74B3A6C8"/>
    <w:rsid w:val="74C4154C"/>
    <w:rsid w:val="74F7C8D3"/>
    <w:rsid w:val="754D7793"/>
    <w:rsid w:val="75956FFF"/>
    <w:rsid w:val="760BF0ED"/>
    <w:rsid w:val="76DD4B47"/>
    <w:rsid w:val="76DE4092"/>
    <w:rsid w:val="771C469C"/>
    <w:rsid w:val="77AA2D01"/>
    <w:rsid w:val="77B7A2F1"/>
    <w:rsid w:val="77CF2213"/>
    <w:rsid w:val="77FAB2D6"/>
    <w:rsid w:val="77FD44A1"/>
    <w:rsid w:val="79AB2CDA"/>
    <w:rsid w:val="7A7790DD"/>
    <w:rsid w:val="7AEC8C0E"/>
    <w:rsid w:val="7AFF1D4C"/>
    <w:rsid w:val="7BBF3F96"/>
    <w:rsid w:val="7BDF4F5B"/>
    <w:rsid w:val="7BE55BAF"/>
    <w:rsid w:val="7BE5CBDB"/>
    <w:rsid w:val="7C176AA6"/>
    <w:rsid w:val="7CDE1DBD"/>
    <w:rsid w:val="7D943A85"/>
    <w:rsid w:val="7DB0448C"/>
    <w:rsid w:val="7DD60598"/>
    <w:rsid w:val="7DF9FF58"/>
    <w:rsid w:val="7E5F9AA4"/>
    <w:rsid w:val="7E8BAA46"/>
    <w:rsid w:val="7EFB4268"/>
    <w:rsid w:val="7F338200"/>
    <w:rsid w:val="7F7F2C3F"/>
    <w:rsid w:val="7F7F3D46"/>
    <w:rsid w:val="7FB794EE"/>
    <w:rsid w:val="7FDD41F3"/>
    <w:rsid w:val="7FEA3982"/>
    <w:rsid w:val="7FEF5361"/>
    <w:rsid w:val="7FFF7EEC"/>
    <w:rsid w:val="8FFC8888"/>
    <w:rsid w:val="95AB622E"/>
    <w:rsid w:val="9EDD5BE3"/>
    <w:rsid w:val="A7F73C99"/>
    <w:rsid w:val="AF7DAE13"/>
    <w:rsid w:val="AFAD1007"/>
    <w:rsid w:val="B25F69A9"/>
    <w:rsid w:val="B2FB1D98"/>
    <w:rsid w:val="BAE744C8"/>
    <w:rsid w:val="BBEF973D"/>
    <w:rsid w:val="BBFF5F26"/>
    <w:rsid w:val="BF9A85E0"/>
    <w:rsid w:val="BFDDB990"/>
    <w:rsid w:val="BFFE3BF4"/>
    <w:rsid w:val="C33A6D18"/>
    <w:rsid w:val="CDB74EF4"/>
    <w:rsid w:val="CFBE8ED6"/>
    <w:rsid w:val="CFEE863D"/>
    <w:rsid w:val="D6AB3562"/>
    <w:rsid w:val="D7FF7142"/>
    <w:rsid w:val="DABF9D20"/>
    <w:rsid w:val="DD5FF30F"/>
    <w:rsid w:val="DD7EC399"/>
    <w:rsid w:val="DF3A1C85"/>
    <w:rsid w:val="DF7977AC"/>
    <w:rsid w:val="DFEBDA37"/>
    <w:rsid w:val="DFFEC755"/>
    <w:rsid w:val="E6D790B6"/>
    <w:rsid w:val="E6E7E850"/>
    <w:rsid w:val="E7EB8210"/>
    <w:rsid w:val="E7FB2D48"/>
    <w:rsid w:val="EB7E440A"/>
    <w:rsid w:val="ED7F0EE1"/>
    <w:rsid w:val="EEFA1A6F"/>
    <w:rsid w:val="EF6FCA1D"/>
    <w:rsid w:val="EFF3ED2A"/>
    <w:rsid w:val="EFF9EE23"/>
    <w:rsid w:val="EFFBC5EA"/>
    <w:rsid w:val="EFFF1E9E"/>
    <w:rsid w:val="EFFF57D6"/>
    <w:rsid w:val="F35DD126"/>
    <w:rsid w:val="F3ED7F94"/>
    <w:rsid w:val="F46713A2"/>
    <w:rsid w:val="F5FE41B7"/>
    <w:rsid w:val="F65EA510"/>
    <w:rsid w:val="F6FF77A1"/>
    <w:rsid w:val="F73F81CB"/>
    <w:rsid w:val="F7DFD152"/>
    <w:rsid w:val="F95BE214"/>
    <w:rsid w:val="F9DE74E4"/>
    <w:rsid w:val="FB3BFF91"/>
    <w:rsid w:val="FB6F3EAC"/>
    <w:rsid w:val="FB971015"/>
    <w:rsid w:val="FBFBBB85"/>
    <w:rsid w:val="FCF75C02"/>
    <w:rsid w:val="FD33A2D0"/>
    <w:rsid w:val="FE1D4F9E"/>
    <w:rsid w:val="FE77B99F"/>
    <w:rsid w:val="FF1B2746"/>
    <w:rsid w:val="FF37DA54"/>
    <w:rsid w:val="FF7FA20F"/>
    <w:rsid w:val="FFA4F305"/>
    <w:rsid w:val="FFAC4828"/>
    <w:rsid w:val="FFB7B6DA"/>
    <w:rsid w:val="FFBF6652"/>
    <w:rsid w:val="FFDF2ECC"/>
    <w:rsid w:val="FFDFBBA4"/>
    <w:rsid w:val="FFE22056"/>
    <w:rsid w:val="FFE73D0E"/>
    <w:rsid w:val="FFEE18B8"/>
    <w:rsid w:val="FFF6020C"/>
    <w:rsid w:val="FFF78DC0"/>
    <w:rsid w:val="FFFD16C3"/>
    <w:rsid w:val="FFFE81A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 w:type="paragraph" w:customStyle="1" w:styleId="18">
    <w:name w:val="msolistparagraph"/>
    <w:basedOn w:val="1"/>
    <w:qFormat/>
    <w:uiPriority w:val="0"/>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5579</Words>
  <Characters>6173</Characters>
  <Lines>67</Lines>
  <Paragraphs>18</Paragraphs>
  <TotalTime>14</TotalTime>
  <ScaleCrop>false</ScaleCrop>
  <LinksUpToDate>false</LinksUpToDate>
  <CharactersWithSpaces>6232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2024-07-31T11:26:00Z</dcterms:created>
  <dc:creator>uos</dc:creator>
  <cp:lastModifiedBy>huawei</cp:lastModifiedBy>
  <cp:lastPrinted>2025-09-09T09:36:00Z</cp:lastPrinted>
  <dcterms:modified xsi:type="dcterms:W3CDTF">2025-09-09T10:24:50Z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03AE7F14E2DC4BACB053764200FF950D_13</vt:lpwstr>
  </property>
  <property fmtid="{D5CDD505-2E9C-101B-9397-08002B2CF9AE}" pid="4" name="KSOTemplateDocerSaveRecord">
    <vt:lpwstr>eyJoZGlkIjoiMmE4MTFlYTRlNmI5YjliY2Y1ZGVkODI0NTBlYTFhMDMiLCJ1c2VySWQiOiIzODQ4MDM2MjUifQ==</vt:lpwstr>
  </property>
</Properties>
</file>