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86" w:lineRule="auto"/>
      </w:pPr>
      <w:r>
        <w:drawing>
          <wp:anchor distT="0" distB="0" distL="0" distR="0" simplePos="0" relativeHeight="251659264" behindDoc="0" locked="0" layoutInCell="0" allowOverlap="1">
            <wp:simplePos x="0" y="0"/>
            <wp:positionH relativeFrom="page">
              <wp:posOffset>1009015</wp:posOffset>
            </wp:positionH>
            <wp:positionV relativeFrom="page">
              <wp:posOffset>5208905</wp:posOffset>
            </wp:positionV>
            <wp:extent cx="545719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456972" cy="6353"/>
                    </a:xfrm>
                    <a:prstGeom prst="rect">
                      <a:avLst/>
                    </a:prstGeom>
                  </pic:spPr>
                </pic:pic>
              </a:graphicData>
            </a:graphic>
          </wp:anchor>
        </w:drawing>
      </w:r>
    </w:p>
    <w:p>
      <w:pPr>
        <w:pStyle w:val="2"/>
        <w:spacing w:line="286" w:lineRule="auto"/>
      </w:pPr>
    </w:p>
    <w:p>
      <w:pPr>
        <w:pStyle w:val="2"/>
        <w:spacing w:line="287" w:lineRule="auto"/>
      </w:pPr>
    </w:p>
    <w:p>
      <w:pPr>
        <w:pStyle w:val="2"/>
        <w:spacing w:line="287" w:lineRule="auto"/>
      </w:pPr>
    </w:p>
    <w:p>
      <w:pPr>
        <w:spacing w:before="391" w:line="890" w:lineRule="exact"/>
        <w:ind w:left="5"/>
        <w:rPr>
          <w:rFonts w:ascii="微软雅黑" w:hAnsi="微软雅黑" w:eastAsia="微软雅黑" w:cs="微软雅黑"/>
          <w:sz w:val="91"/>
          <w:szCs w:val="91"/>
        </w:rPr>
      </w:pPr>
      <w:r>
        <w:rPr>
          <w:rFonts w:ascii="微软雅黑" w:hAnsi="微软雅黑" w:eastAsia="微软雅黑" w:cs="微软雅黑"/>
          <w:color w:val="FF0000"/>
          <w:spacing w:val="-18"/>
          <w:w w:val="72"/>
          <w:position w:val="-5"/>
          <w:sz w:val="91"/>
          <w:szCs w:val="91"/>
        </w:rPr>
        <w:t>海</w:t>
      </w:r>
      <w:r>
        <w:rPr>
          <w:rFonts w:ascii="微软雅黑" w:hAnsi="微软雅黑" w:eastAsia="微软雅黑" w:cs="微软雅黑"/>
          <w:color w:val="FF0000"/>
          <w:spacing w:val="106"/>
          <w:position w:val="-5"/>
          <w:sz w:val="91"/>
          <w:szCs w:val="91"/>
        </w:rPr>
        <w:t xml:space="preserve">  </w:t>
      </w:r>
      <w:r>
        <w:rPr>
          <w:rFonts w:ascii="微软雅黑" w:hAnsi="微软雅黑" w:eastAsia="微软雅黑" w:cs="微软雅黑"/>
          <w:color w:val="FF0000"/>
          <w:spacing w:val="-18"/>
          <w:w w:val="72"/>
          <w:position w:val="-5"/>
          <w:sz w:val="91"/>
          <w:szCs w:val="91"/>
        </w:rPr>
        <w:t>南</w:t>
      </w:r>
      <w:r>
        <w:rPr>
          <w:rFonts w:ascii="微软雅黑" w:hAnsi="微软雅黑" w:eastAsia="微软雅黑" w:cs="微软雅黑"/>
          <w:color w:val="FF0000"/>
          <w:spacing w:val="86"/>
          <w:position w:val="-5"/>
          <w:sz w:val="91"/>
          <w:szCs w:val="91"/>
        </w:rPr>
        <w:t xml:space="preserve">  </w:t>
      </w:r>
      <w:r>
        <w:rPr>
          <w:rFonts w:ascii="微软雅黑" w:hAnsi="微软雅黑" w:eastAsia="微软雅黑" w:cs="微软雅黑"/>
          <w:color w:val="FF0000"/>
          <w:spacing w:val="-18"/>
          <w:w w:val="72"/>
          <w:position w:val="-5"/>
          <w:sz w:val="91"/>
          <w:szCs w:val="91"/>
        </w:rPr>
        <w:t>省</w:t>
      </w:r>
      <w:r>
        <w:rPr>
          <w:rFonts w:ascii="微软雅黑" w:hAnsi="微软雅黑" w:eastAsia="微软雅黑" w:cs="微软雅黑"/>
          <w:color w:val="FF0000"/>
          <w:spacing w:val="81"/>
          <w:position w:val="-5"/>
          <w:sz w:val="91"/>
          <w:szCs w:val="91"/>
        </w:rPr>
        <w:t xml:space="preserve">  </w:t>
      </w:r>
      <w:r>
        <w:rPr>
          <w:rFonts w:ascii="微软雅黑" w:hAnsi="微软雅黑" w:eastAsia="微软雅黑" w:cs="微软雅黑"/>
          <w:color w:val="FF0000"/>
          <w:spacing w:val="-18"/>
          <w:w w:val="72"/>
          <w:position w:val="-5"/>
          <w:sz w:val="91"/>
          <w:szCs w:val="91"/>
        </w:rPr>
        <w:t>林</w:t>
      </w:r>
      <w:r>
        <w:rPr>
          <w:rFonts w:ascii="微软雅黑" w:hAnsi="微软雅黑" w:eastAsia="微软雅黑" w:cs="微软雅黑"/>
          <w:color w:val="FF0000"/>
          <w:spacing w:val="80"/>
          <w:position w:val="-5"/>
          <w:sz w:val="91"/>
          <w:szCs w:val="91"/>
        </w:rPr>
        <w:t xml:space="preserve">  </w:t>
      </w:r>
      <w:r>
        <w:rPr>
          <w:rFonts w:ascii="微软雅黑" w:hAnsi="微软雅黑" w:eastAsia="微软雅黑" w:cs="微软雅黑"/>
          <w:color w:val="FF0000"/>
          <w:spacing w:val="-18"/>
          <w:w w:val="72"/>
          <w:position w:val="-5"/>
          <w:sz w:val="91"/>
          <w:szCs w:val="91"/>
        </w:rPr>
        <w:t>业</w:t>
      </w:r>
      <w:r>
        <w:rPr>
          <w:rFonts w:ascii="微软雅黑" w:hAnsi="微软雅黑" w:eastAsia="微软雅黑" w:cs="微软雅黑"/>
          <w:color w:val="FF0000"/>
          <w:spacing w:val="86"/>
          <w:position w:val="-5"/>
          <w:sz w:val="91"/>
          <w:szCs w:val="91"/>
        </w:rPr>
        <w:t xml:space="preserve">  </w:t>
      </w:r>
      <w:r>
        <w:rPr>
          <w:rFonts w:ascii="微软雅黑" w:hAnsi="微软雅黑" w:eastAsia="微软雅黑" w:cs="微软雅黑"/>
          <w:color w:val="FF0000"/>
          <w:spacing w:val="-18"/>
          <w:w w:val="72"/>
          <w:position w:val="-5"/>
          <w:sz w:val="91"/>
          <w:szCs w:val="91"/>
        </w:rPr>
        <w:t>局</w:t>
      </w:r>
    </w:p>
    <w:p>
      <w:pPr>
        <w:spacing w:before="20" w:line="169" w:lineRule="auto"/>
        <w:ind w:left="5"/>
        <w:rPr>
          <w:rFonts w:ascii="微软雅黑" w:hAnsi="微软雅黑" w:eastAsia="微软雅黑" w:cs="微软雅黑"/>
          <w:sz w:val="91"/>
          <w:szCs w:val="91"/>
        </w:rPr>
      </w:pPr>
      <w:r>
        <w:rPr>
          <w:rFonts w:ascii="微软雅黑" w:hAnsi="微软雅黑" w:eastAsia="微软雅黑" w:cs="微软雅黑"/>
          <w:color w:val="FF0000"/>
          <w:spacing w:val="-105"/>
          <w:w w:val="91"/>
          <w:position w:val="-2"/>
          <w:sz w:val="91"/>
          <w:szCs w:val="91"/>
        </w:rPr>
        <w:t xml:space="preserve">海    南    省    财    政    厅 </w:t>
      </w:r>
      <w:r>
        <w:rPr>
          <w:rFonts w:ascii="微软雅黑" w:hAnsi="微软雅黑" w:eastAsia="微软雅黑" w:cs="微软雅黑"/>
          <w:color w:val="FF0000"/>
          <w:spacing w:val="5"/>
          <w:position w:val="6"/>
          <w:sz w:val="91"/>
          <w:szCs w:val="91"/>
        </w:rPr>
        <w:t>文件</w:t>
      </w:r>
      <w:r>
        <w:rPr>
          <w:rFonts w:ascii="微软雅黑" w:hAnsi="微软雅黑" w:eastAsia="微软雅黑" w:cs="微软雅黑"/>
          <w:color w:val="FF0000"/>
          <w:spacing w:val="1"/>
          <w:position w:val="6"/>
          <w:sz w:val="91"/>
          <w:szCs w:val="91"/>
        </w:rPr>
        <w:t xml:space="preserve"> </w:t>
      </w:r>
      <w:r>
        <w:rPr>
          <w:rFonts w:ascii="微软雅黑" w:hAnsi="微软雅黑" w:eastAsia="微软雅黑" w:cs="微软雅黑"/>
          <w:color w:val="FF0000"/>
          <w:spacing w:val="12"/>
          <w:sz w:val="91"/>
          <w:szCs w:val="91"/>
        </w:rPr>
        <w:t>海南省农业农村厅</w:t>
      </w:r>
    </w:p>
    <w:p>
      <w:pPr>
        <w:pStyle w:val="2"/>
        <w:spacing w:line="266" w:lineRule="auto"/>
      </w:pPr>
    </w:p>
    <w:p>
      <w:pPr>
        <w:pStyle w:val="2"/>
        <w:spacing w:line="266" w:lineRule="auto"/>
      </w:pPr>
    </w:p>
    <w:p>
      <w:pPr>
        <w:pStyle w:val="2"/>
        <w:spacing w:line="267" w:lineRule="auto"/>
      </w:pPr>
    </w:p>
    <w:p>
      <w:pPr>
        <w:pStyle w:val="2"/>
        <w:spacing w:line="267" w:lineRule="auto"/>
      </w:pPr>
    </w:p>
    <w:p>
      <w:pPr>
        <w:pStyle w:val="2"/>
        <w:spacing w:before="100" w:line="220" w:lineRule="auto"/>
        <w:ind w:left="2923"/>
        <w:rPr>
          <w:rFonts w:ascii="仿宋" w:hAnsi="仿宋" w:eastAsia="仿宋" w:cs="仿宋"/>
          <w:sz w:val="31"/>
          <w:szCs w:val="31"/>
        </w:rPr>
      </w:pPr>
      <w:r>
        <w:rPr>
          <w:rFonts w:ascii="仿宋" w:hAnsi="仿宋" w:eastAsia="仿宋" w:cs="仿宋"/>
          <w:spacing w:val="17"/>
          <w:sz w:val="31"/>
          <w:szCs w:val="31"/>
        </w:rPr>
        <w:t>琼林规〔</w:t>
      </w:r>
      <w:r>
        <w:rPr>
          <w:spacing w:val="17"/>
          <w:sz w:val="31"/>
          <w:szCs w:val="31"/>
        </w:rPr>
        <w:t>2023</w:t>
      </w:r>
      <w:r>
        <w:rPr>
          <w:rFonts w:ascii="仿宋" w:hAnsi="仿宋" w:eastAsia="仿宋" w:cs="仿宋"/>
          <w:spacing w:val="17"/>
          <w:sz w:val="31"/>
          <w:szCs w:val="31"/>
        </w:rPr>
        <w:t>〕</w:t>
      </w:r>
      <w:r>
        <w:rPr>
          <w:spacing w:val="17"/>
          <w:sz w:val="31"/>
          <w:szCs w:val="31"/>
        </w:rPr>
        <w:t xml:space="preserve">6 </w:t>
      </w:r>
      <w:r>
        <w:rPr>
          <w:rFonts w:ascii="仿宋" w:hAnsi="仿宋" w:eastAsia="仿宋" w:cs="仿宋"/>
          <w:spacing w:val="17"/>
          <w:sz w:val="31"/>
          <w:szCs w:val="31"/>
        </w:rPr>
        <w:t>号</w:t>
      </w:r>
    </w:p>
    <w:p>
      <w:pPr>
        <w:pStyle w:val="2"/>
        <w:spacing w:line="267" w:lineRule="auto"/>
      </w:pPr>
    </w:p>
    <w:p>
      <w:pPr>
        <w:pStyle w:val="2"/>
        <w:spacing w:line="267" w:lineRule="auto"/>
      </w:pPr>
    </w:p>
    <w:p>
      <w:pPr>
        <w:pStyle w:val="2"/>
        <w:spacing w:line="267" w:lineRule="auto"/>
      </w:pPr>
    </w:p>
    <w:p>
      <w:pPr>
        <w:pStyle w:val="2"/>
        <w:spacing w:line="267" w:lineRule="auto"/>
      </w:pPr>
    </w:p>
    <w:p>
      <w:pPr>
        <w:pStyle w:val="2"/>
        <w:spacing w:line="267" w:lineRule="auto"/>
      </w:pPr>
    </w:p>
    <w:p>
      <w:pPr>
        <w:spacing w:before="184" w:line="179" w:lineRule="auto"/>
        <w:ind w:left="3038"/>
        <w:rPr>
          <w:rFonts w:ascii="微软雅黑" w:hAnsi="微软雅黑" w:eastAsia="微软雅黑" w:cs="微软雅黑"/>
          <w:sz w:val="43"/>
          <w:szCs w:val="43"/>
        </w:rPr>
      </w:pPr>
      <w:r>
        <w:rPr>
          <w:rFonts w:ascii="微软雅黑" w:hAnsi="微软雅黑" w:eastAsia="微软雅黑" w:cs="微软雅黑"/>
          <w:spacing w:val="26"/>
          <w:sz w:val="43"/>
          <w:szCs w:val="43"/>
        </w:rPr>
        <w:t>海南省林业局</w:t>
      </w:r>
    </w:p>
    <w:p>
      <w:pPr>
        <w:spacing w:before="3" w:line="184" w:lineRule="auto"/>
        <w:ind w:left="2576"/>
        <w:rPr>
          <w:rFonts w:ascii="微软雅黑" w:hAnsi="微软雅黑" w:eastAsia="微软雅黑" w:cs="微软雅黑"/>
          <w:sz w:val="43"/>
          <w:szCs w:val="43"/>
        </w:rPr>
      </w:pPr>
      <w:r>
        <w:rPr>
          <w:rFonts w:ascii="微软雅黑" w:hAnsi="微软雅黑" w:eastAsia="微软雅黑" w:cs="微软雅黑"/>
          <w:spacing w:val="28"/>
          <w:sz w:val="43"/>
          <w:szCs w:val="43"/>
        </w:rPr>
        <w:t>海南省农业农村厅</w:t>
      </w:r>
    </w:p>
    <w:p>
      <w:pPr>
        <w:spacing w:before="1" w:line="180" w:lineRule="auto"/>
        <w:ind w:left="3038"/>
        <w:rPr>
          <w:rFonts w:ascii="微软雅黑" w:hAnsi="微软雅黑" w:eastAsia="微软雅黑" w:cs="微软雅黑"/>
          <w:sz w:val="43"/>
          <w:szCs w:val="43"/>
        </w:rPr>
      </w:pPr>
      <w:r>
        <w:rPr>
          <w:rFonts w:ascii="微软雅黑" w:hAnsi="微软雅黑" w:eastAsia="微软雅黑" w:cs="微软雅黑"/>
          <w:spacing w:val="27"/>
          <w:sz w:val="43"/>
          <w:szCs w:val="43"/>
        </w:rPr>
        <w:t>海南省财政厅</w:t>
      </w:r>
    </w:p>
    <w:p>
      <w:pPr>
        <w:spacing w:before="3" w:line="180" w:lineRule="auto"/>
        <w:ind w:left="357"/>
        <w:rPr>
          <w:rFonts w:ascii="微软雅黑" w:hAnsi="微软雅黑" w:eastAsia="微软雅黑" w:cs="微软雅黑"/>
          <w:sz w:val="43"/>
          <w:szCs w:val="43"/>
        </w:rPr>
      </w:pPr>
      <w:r>
        <w:rPr>
          <w:rFonts w:ascii="微软雅黑" w:hAnsi="微软雅黑" w:eastAsia="微软雅黑" w:cs="微软雅黑"/>
          <w:spacing w:val="20"/>
          <w:sz w:val="43"/>
          <w:szCs w:val="43"/>
        </w:rPr>
        <w:t>关于印发《海南省林下经济省级示范基地</w:t>
      </w:r>
    </w:p>
    <w:p>
      <w:pPr>
        <w:pStyle w:val="2"/>
        <w:spacing w:before="1" w:line="199" w:lineRule="auto"/>
        <w:ind w:left="813"/>
        <w:rPr>
          <w:rFonts w:ascii="微软雅黑" w:hAnsi="微软雅黑" w:eastAsia="微软雅黑" w:cs="微软雅黑"/>
          <w:sz w:val="43"/>
          <w:szCs w:val="43"/>
        </w:rPr>
      </w:pPr>
      <w:r>
        <w:rPr>
          <w:rFonts w:ascii="微软雅黑" w:hAnsi="微软雅黑" w:eastAsia="微软雅黑" w:cs="微软雅黑"/>
          <w:spacing w:val="-13"/>
          <w:sz w:val="43"/>
          <w:szCs w:val="43"/>
        </w:rPr>
        <w:t>奖补资金管理实施细则</w:t>
      </w:r>
      <w:r>
        <w:rPr>
          <w:spacing w:val="-13"/>
          <w:sz w:val="43"/>
          <w:szCs w:val="43"/>
        </w:rPr>
        <w:t>(</w:t>
      </w:r>
      <w:r>
        <w:rPr>
          <w:rFonts w:ascii="微软雅黑" w:hAnsi="微软雅黑" w:eastAsia="微软雅黑" w:cs="微软雅黑"/>
          <w:spacing w:val="-13"/>
          <w:sz w:val="43"/>
          <w:szCs w:val="43"/>
        </w:rPr>
        <w:t>试行）》的通知</w:t>
      </w:r>
    </w:p>
    <w:p>
      <w:pPr>
        <w:pStyle w:val="2"/>
        <w:spacing w:line="260" w:lineRule="auto"/>
      </w:pPr>
    </w:p>
    <w:p>
      <w:pPr>
        <w:pStyle w:val="2"/>
        <w:spacing w:line="260" w:lineRule="auto"/>
      </w:pPr>
    </w:p>
    <w:p>
      <w:pPr>
        <w:spacing w:before="101" w:line="220" w:lineRule="auto"/>
        <w:ind w:left="9"/>
        <w:rPr>
          <w:rFonts w:ascii="仿宋" w:hAnsi="仿宋" w:eastAsia="仿宋" w:cs="仿宋"/>
          <w:sz w:val="31"/>
          <w:szCs w:val="31"/>
        </w:rPr>
      </w:pPr>
      <w:r>
        <w:rPr>
          <w:rFonts w:ascii="仿宋" w:hAnsi="仿宋" w:eastAsia="仿宋" w:cs="仿宋"/>
          <w:spacing w:val="9"/>
          <w:sz w:val="31"/>
          <w:szCs w:val="31"/>
        </w:rPr>
        <w:t>各市县林业主管部门、农业农村局、财政局，海垦控股集</w:t>
      </w:r>
      <w:r>
        <w:rPr>
          <w:rFonts w:ascii="仿宋" w:hAnsi="仿宋" w:eastAsia="仿宋" w:cs="仿宋"/>
          <w:spacing w:val="8"/>
          <w:sz w:val="31"/>
          <w:szCs w:val="31"/>
        </w:rPr>
        <w:t>团：</w:t>
      </w:r>
    </w:p>
    <w:p>
      <w:pPr>
        <w:pStyle w:val="2"/>
        <w:spacing w:before="191" w:line="219" w:lineRule="auto"/>
        <w:ind w:left="646"/>
        <w:rPr>
          <w:rFonts w:ascii="仿宋" w:hAnsi="仿宋" w:eastAsia="仿宋" w:cs="仿宋"/>
          <w:sz w:val="31"/>
          <w:szCs w:val="31"/>
        </w:rPr>
      </w:pPr>
      <w:r>
        <w:rPr>
          <w:rFonts w:ascii="仿宋" w:hAnsi="仿宋" w:eastAsia="仿宋" w:cs="仿宋"/>
          <w:spacing w:val="7"/>
          <w:sz w:val="31"/>
          <w:szCs w:val="31"/>
        </w:rPr>
        <w:t>根据国家发改委等</w:t>
      </w:r>
      <w:r>
        <w:rPr>
          <w:rFonts w:ascii="仿宋" w:hAnsi="仿宋" w:eastAsia="仿宋" w:cs="仿宋"/>
          <w:spacing w:val="-27"/>
          <w:sz w:val="31"/>
          <w:szCs w:val="31"/>
        </w:rPr>
        <w:t xml:space="preserve"> </w:t>
      </w:r>
      <w:r>
        <w:rPr>
          <w:spacing w:val="7"/>
          <w:sz w:val="31"/>
          <w:szCs w:val="31"/>
        </w:rPr>
        <w:t xml:space="preserve">10 </w:t>
      </w:r>
      <w:r>
        <w:rPr>
          <w:rFonts w:ascii="仿宋" w:hAnsi="仿宋" w:eastAsia="仿宋" w:cs="仿宋"/>
          <w:spacing w:val="7"/>
          <w:sz w:val="31"/>
          <w:szCs w:val="31"/>
        </w:rPr>
        <w:t>部委联合印发的《关于科学利用林地</w:t>
      </w:r>
    </w:p>
    <w:p>
      <w:pPr>
        <w:spacing w:before="193" w:line="218" w:lineRule="auto"/>
        <w:ind w:left="23"/>
        <w:rPr>
          <w:rFonts w:ascii="仿宋" w:hAnsi="仿宋" w:eastAsia="仿宋" w:cs="仿宋"/>
          <w:sz w:val="31"/>
          <w:szCs w:val="31"/>
        </w:rPr>
      </w:pPr>
      <w:r>
        <w:rPr>
          <w:rFonts w:ascii="仿宋" w:hAnsi="仿宋" w:eastAsia="仿宋" w:cs="仿宋"/>
          <w:spacing w:val="-6"/>
          <w:sz w:val="31"/>
          <w:szCs w:val="31"/>
        </w:rPr>
        <w:t>资源促进木本粮油和林下经济高质量发展的意见》精</w:t>
      </w:r>
      <w:r>
        <w:rPr>
          <w:rFonts w:ascii="仿宋" w:hAnsi="仿宋" w:eastAsia="仿宋" w:cs="仿宋"/>
          <w:spacing w:val="-7"/>
          <w:sz w:val="31"/>
          <w:szCs w:val="31"/>
        </w:rPr>
        <w:t>神，按照《海</w:t>
      </w:r>
    </w:p>
    <w:p>
      <w:pPr>
        <w:spacing w:line="218" w:lineRule="auto"/>
        <w:rPr>
          <w:rFonts w:ascii="仿宋" w:hAnsi="仿宋" w:eastAsia="仿宋" w:cs="仿宋"/>
          <w:sz w:val="31"/>
          <w:szCs w:val="31"/>
        </w:rPr>
        <w:sectPr>
          <w:footerReference r:id="rId5" w:type="default"/>
          <w:pgSz w:w="11906" w:h="16838"/>
          <w:pgMar w:top="1431" w:right="1199" w:bottom="2128" w:left="1589" w:header="0" w:footer="1860" w:gutter="0"/>
          <w:cols w:space="720" w:num="1"/>
        </w:sectPr>
      </w:pPr>
    </w:p>
    <w:p>
      <w:pPr>
        <w:pStyle w:val="2"/>
      </w:pPr>
      <w:r>
        <w:pict>
          <v:shape id="_x0000_s1026" o:spid="_x0000_s1026" o:spt="202" type="#_x0000_t202" style="position:absolute;left:0pt;margin-left:95.35pt;margin-top:449.85pt;height:20.5pt;width:96.8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before="20" w:line="220" w:lineRule="auto"/>
                    <w:ind w:left="20"/>
                    <w:rPr>
                      <w:rFonts w:ascii="仿宋" w:hAnsi="仿宋" w:eastAsia="仿宋" w:cs="仿宋"/>
                      <w:sz w:val="31"/>
                      <w:szCs w:val="31"/>
                    </w:rPr>
                  </w:pPr>
                  <w:r>
                    <w:rPr>
                      <w:rFonts w:ascii="仿宋" w:hAnsi="仿宋" w:eastAsia="仿宋" w:cs="仿宋"/>
                      <w:spacing w:val="5"/>
                      <w:sz w:val="31"/>
                      <w:szCs w:val="31"/>
                    </w:rPr>
                    <w:t>海南省林业局</w:t>
                  </w:r>
                </w:p>
              </w:txbxContent>
            </v:textbox>
          </v:shape>
        </w:pict>
      </w:r>
      <w:r>
        <w:drawing>
          <wp:anchor distT="0" distB="0" distL="0" distR="0" simplePos="0" relativeHeight="251660288" behindDoc="1" locked="0" layoutInCell="0" allowOverlap="1">
            <wp:simplePos x="0" y="0"/>
            <wp:positionH relativeFrom="page">
              <wp:posOffset>1054735</wp:posOffset>
            </wp:positionH>
            <wp:positionV relativeFrom="page">
              <wp:posOffset>4999355</wp:posOffset>
            </wp:positionV>
            <wp:extent cx="1511935" cy="15119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512000" cy="1511999"/>
                    </a:xfrm>
                    <a:prstGeom prst="rect">
                      <a:avLst/>
                    </a:prstGeom>
                  </pic:spPr>
                </pic:pic>
              </a:graphicData>
            </a:graphic>
          </wp:anchor>
        </w:drawing>
      </w:r>
    </w:p>
    <w:p>
      <w:pPr>
        <w:pStyle w:val="2"/>
      </w:pPr>
    </w:p>
    <w:p>
      <w:pPr>
        <w:pStyle w:val="2"/>
      </w:pPr>
    </w:p>
    <w:p>
      <w:pPr>
        <w:pStyle w:val="2"/>
        <w:spacing w:before="101" w:line="333" w:lineRule="auto"/>
        <w:ind w:left="62" w:right="27" w:firstLine="9"/>
        <w:rPr>
          <w:rFonts w:ascii="仿宋" w:hAnsi="仿宋" w:eastAsia="仿宋" w:cs="仿宋"/>
          <w:sz w:val="31"/>
          <w:szCs w:val="31"/>
        </w:rPr>
      </w:pPr>
      <w:r>
        <w:rPr>
          <w:rFonts w:ascii="仿宋" w:hAnsi="仿宋" w:eastAsia="仿宋" w:cs="仿宋"/>
          <w:spacing w:val="4"/>
          <w:sz w:val="31"/>
          <w:szCs w:val="31"/>
        </w:rPr>
        <w:t>南省促进经济高质量发展若干财政措施》《海南省促进经济高质</w:t>
      </w:r>
      <w:r>
        <w:rPr>
          <w:rFonts w:ascii="仿宋" w:hAnsi="仿宋" w:eastAsia="仿宋" w:cs="仿宋"/>
          <w:spacing w:val="13"/>
          <w:sz w:val="31"/>
          <w:szCs w:val="31"/>
        </w:rPr>
        <w:t xml:space="preserve"> </w:t>
      </w:r>
      <w:r>
        <w:rPr>
          <w:rFonts w:ascii="仿宋" w:hAnsi="仿宋" w:eastAsia="仿宋" w:cs="仿宋"/>
          <w:spacing w:val="5"/>
          <w:sz w:val="31"/>
          <w:szCs w:val="31"/>
        </w:rPr>
        <w:t>量发展资金管理办法》要求，为积极发展林下经济，加大</w:t>
      </w:r>
      <w:r>
        <w:rPr>
          <w:rFonts w:ascii="仿宋" w:hAnsi="仿宋" w:eastAsia="仿宋" w:cs="仿宋"/>
          <w:spacing w:val="4"/>
          <w:sz w:val="31"/>
          <w:szCs w:val="31"/>
        </w:rPr>
        <w:t>对林下</w:t>
      </w:r>
      <w:r>
        <w:rPr>
          <w:rFonts w:ascii="仿宋" w:hAnsi="仿宋" w:eastAsia="仿宋" w:cs="仿宋"/>
          <w:sz w:val="31"/>
          <w:szCs w:val="31"/>
        </w:rPr>
        <w:t xml:space="preserve"> </w:t>
      </w:r>
      <w:r>
        <w:rPr>
          <w:rFonts w:ascii="仿宋" w:hAnsi="仿宋" w:eastAsia="仿宋" w:cs="仿宋"/>
          <w:spacing w:val="4"/>
          <w:sz w:val="31"/>
          <w:szCs w:val="31"/>
        </w:rPr>
        <w:t>经济市场经营主体的扶持力度，促进我省林下经济高质量发展，</w:t>
      </w:r>
      <w:r>
        <w:rPr>
          <w:rFonts w:ascii="仿宋" w:hAnsi="仿宋" w:eastAsia="仿宋" w:cs="仿宋"/>
          <w:spacing w:val="14"/>
          <w:sz w:val="31"/>
          <w:szCs w:val="31"/>
        </w:rPr>
        <w:t xml:space="preserve"> </w:t>
      </w:r>
      <w:r>
        <w:rPr>
          <w:rFonts w:ascii="仿宋" w:hAnsi="仿宋" w:eastAsia="仿宋" w:cs="仿宋"/>
          <w:spacing w:val="5"/>
          <w:sz w:val="31"/>
          <w:szCs w:val="31"/>
        </w:rPr>
        <w:t>省林业局、省农业农村厅、省财政厅联合制定《海南省林</w:t>
      </w:r>
      <w:r>
        <w:rPr>
          <w:rFonts w:ascii="仿宋" w:hAnsi="仿宋" w:eastAsia="仿宋" w:cs="仿宋"/>
          <w:spacing w:val="4"/>
          <w:sz w:val="31"/>
          <w:szCs w:val="31"/>
        </w:rPr>
        <w:t>下经济</w:t>
      </w:r>
      <w:r>
        <w:rPr>
          <w:rFonts w:ascii="仿宋" w:hAnsi="仿宋" w:eastAsia="仿宋" w:cs="仿宋"/>
          <w:sz w:val="31"/>
          <w:szCs w:val="31"/>
        </w:rPr>
        <w:t xml:space="preserve"> </w:t>
      </w:r>
      <w:r>
        <w:rPr>
          <w:rFonts w:ascii="仿宋" w:hAnsi="仿宋" w:eastAsia="仿宋" w:cs="仿宋"/>
          <w:spacing w:val="1"/>
          <w:sz w:val="31"/>
          <w:szCs w:val="31"/>
        </w:rPr>
        <w:t>省级示范基地奖补资金管理实施细则</w:t>
      </w:r>
      <w:r>
        <w:rPr>
          <w:spacing w:val="1"/>
          <w:sz w:val="31"/>
          <w:szCs w:val="31"/>
        </w:rPr>
        <w:t>(</w:t>
      </w:r>
      <w:r>
        <w:rPr>
          <w:rFonts w:ascii="仿宋" w:hAnsi="仿宋" w:eastAsia="仿宋" w:cs="仿宋"/>
          <w:spacing w:val="1"/>
          <w:sz w:val="31"/>
          <w:szCs w:val="31"/>
        </w:rPr>
        <w:t>试行）》，现印发</w:t>
      </w:r>
      <w:r>
        <w:rPr>
          <w:rFonts w:ascii="仿宋" w:hAnsi="仿宋" w:eastAsia="仿宋" w:cs="仿宋"/>
          <w:sz w:val="31"/>
          <w:szCs w:val="31"/>
        </w:rPr>
        <w:t>给你们，</w:t>
      </w:r>
    </w:p>
    <w:p>
      <w:pPr>
        <w:spacing w:line="216" w:lineRule="auto"/>
        <w:ind w:left="55"/>
        <w:rPr>
          <w:rFonts w:ascii="仿宋" w:hAnsi="仿宋" w:eastAsia="仿宋" w:cs="仿宋"/>
          <w:sz w:val="31"/>
          <w:szCs w:val="31"/>
        </w:rPr>
      </w:pPr>
      <w:r>
        <w:rPr>
          <w:rFonts w:ascii="仿宋" w:hAnsi="仿宋" w:eastAsia="仿宋" w:cs="仿宋"/>
          <w:spacing w:val="6"/>
          <w:sz w:val="31"/>
          <w:szCs w:val="31"/>
        </w:rPr>
        <w:t>请认真组织实施。</w:t>
      </w:r>
    </w:p>
    <w:p>
      <w:pPr>
        <w:pStyle w:val="2"/>
        <w:spacing w:line="358" w:lineRule="auto"/>
      </w:pPr>
    </w:p>
    <w:p>
      <w:pPr>
        <w:pStyle w:val="2"/>
        <w:spacing w:line="358" w:lineRule="auto"/>
      </w:pPr>
    </w:p>
    <w:p>
      <w:pPr>
        <w:pStyle w:val="2"/>
        <w:spacing w:before="101" w:line="603" w:lineRule="exact"/>
        <w:ind w:right="28"/>
        <w:jc w:val="right"/>
        <w:rPr>
          <w:rFonts w:ascii="仿宋" w:hAnsi="仿宋" w:eastAsia="仿宋" w:cs="仿宋"/>
          <w:sz w:val="31"/>
          <w:szCs w:val="31"/>
        </w:rPr>
      </w:pPr>
      <w:r>
        <w:rPr>
          <w:rFonts w:ascii="仿宋" w:hAnsi="仿宋" w:eastAsia="仿宋" w:cs="仿宋"/>
          <w:spacing w:val="13"/>
          <w:position w:val="21"/>
          <w:sz w:val="31"/>
          <w:szCs w:val="31"/>
        </w:rPr>
        <w:t>附件</w:t>
      </w:r>
      <w:r>
        <w:rPr>
          <w:spacing w:val="13"/>
          <w:position w:val="21"/>
          <w:sz w:val="31"/>
          <w:szCs w:val="31"/>
        </w:rPr>
        <w:t>:</w:t>
      </w:r>
      <w:r>
        <w:rPr>
          <w:rFonts w:ascii="仿宋" w:hAnsi="仿宋" w:eastAsia="仿宋" w:cs="仿宋"/>
          <w:spacing w:val="13"/>
          <w:position w:val="21"/>
          <w:sz w:val="31"/>
          <w:szCs w:val="31"/>
        </w:rPr>
        <w:t>海南省林下经济省级示范基地奖补资金管理</w:t>
      </w:r>
      <w:r>
        <w:rPr>
          <w:rFonts w:ascii="仿宋" w:hAnsi="仿宋" w:eastAsia="仿宋" w:cs="仿宋"/>
          <w:spacing w:val="12"/>
          <w:position w:val="21"/>
          <w:sz w:val="31"/>
          <w:szCs w:val="31"/>
        </w:rPr>
        <w:t>实施细则</w:t>
      </w:r>
    </w:p>
    <w:p>
      <w:pPr>
        <w:pStyle w:val="2"/>
        <w:spacing w:line="201" w:lineRule="auto"/>
        <w:ind w:left="1499"/>
        <w:rPr>
          <w:rFonts w:ascii="仿宋" w:hAnsi="仿宋" w:eastAsia="仿宋" w:cs="仿宋"/>
          <w:sz w:val="31"/>
          <w:szCs w:val="31"/>
        </w:rPr>
      </w:pPr>
      <w:r>
        <w:rPr>
          <w:spacing w:val="4"/>
          <w:sz w:val="31"/>
          <w:szCs w:val="31"/>
        </w:rPr>
        <w:t>(</w:t>
      </w:r>
      <w:r>
        <w:rPr>
          <w:rFonts w:ascii="仿宋" w:hAnsi="仿宋" w:eastAsia="仿宋" w:cs="仿宋"/>
          <w:spacing w:val="4"/>
          <w:sz w:val="31"/>
          <w:szCs w:val="31"/>
        </w:rPr>
        <w:t>试行）</w:t>
      </w:r>
    </w:p>
    <w:p>
      <w:pPr>
        <w:pStyle w:val="2"/>
        <w:spacing w:line="300" w:lineRule="auto"/>
      </w:pPr>
    </w:p>
    <w:p>
      <w:pPr>
        <w:pStyle w:val="2"/>
        <w:spacing w:line="300" w:lineRule="auto"/>
      </w:pPr>
    </w:p>
    <w:p>
      <w:pPr>
        <w:pStyle w:val="2"/>
        <w:spacing w:before="1" w:line="2267" w:lineRule="exact"/>
        <w:ind w:firstLine="5022"/>
      </w:pPr>
      <w:r>
        <w:rPr>
          <w:position w:val="-45"/>
        </w:rPr>
        <w:pict>
          <v:group id="_x0000_s1027" o:spid="_x0000_s1027" o:spt="203" style="height:113.4pt;width:126.8pt;" coordsize="2536,2268">
            <o:lock v:ext="edit"/>
            <v:shape id="_x0000_s1028" o:spid="_x0000_s1028" o:spt="75" type="#_x0000_t75" style="position:absolute;left:107;top:0;height:2268;width:2268;" filled="f" stroked="f" coordsize="21600,21600">
              <v:path/>
              <v:fill on="f" focussize="0,0"/>
              <v:stroke on="f"/>
              <v:imagedata r:id="rId10" o:title=""/>
              <o:lock v:ext="edit" aspectratio="t"/>
            </v:shape>
            <v:shape id="_x0000_s1029" o:spid="_x0000_s1029" o:spt="202" type="#_x0000_t202" style="position:absolute;left:-20;top:-20;height:2308;width:2576;" filled="f" stroked="f" coordsize="21600,21600">
              <v:path/>
              <v:fill on="f" focussize="0,0"/>
              <v:stroke on="f"/>
              <v:imagedata o:title=""/>
              <o:lock v:ext="edit" aspectratio="f"/>
              <v:textbox inset="0mm,0mm,0mm,0mm">
                <w:txbxContent>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1" w:line="220" w:lineRule="auto"/>
                      <w:ind w:left="20"/>
                      <w:rPr>
                        <w:rFonts w:ascii="仿宋" w:hAnsi="仿宋" w:eastAsia="仿宋" w:cs="仿宋"/>
                        <w:sz w:val="31"/>
                        <w:szCs w:val="31"/>
                      </w:rPr>
                    </w:pPr>
                    <w:r>
                      <w:rPr>
                        <w:rFonts w:ascii="仿宋" w:hAnsi="仿宋" w:eastAsia="仿宋" w:cs="仿宋"/>
                        <w:spacing w:val="6"/>
                        <w:sz w:val="31"/>
                        <w:szCs w:val="31"/>
                      </w:rPr>
                      <w:t>海南省农业农村厅</w:t>
                    </w:r>
                  </w:p>
                </w:txbxContent>
              </v:textbox>
            </v:shape>
            <w10:wrap type="none"/>
            <w10:anchorlock/>
          </v:group>
        </w:pict>
      </w:r>
    </w:p>
    <w:p>
      <w:pPr>
        <w:pStyle w:val="2"/>
        <w:spacing w:line="254" w:lineRule="auto"/>
      </w:pPr>
    </w:p>
    <w:p>
      <w:pPr>
        <w:pStyle w:val="2"/>
        <w:spacing w:line="254" w:lineRule="auto"/>
      </w:pPr>
    </w:p>
    <w:p>
      <w:pPr>
        <w:pStyle w:val="2"/>
        <w:spacing w:line="255" w:lineRule="auto"/>
      </w:pPr>
    </w:p>
    <w:p>
      <w:pPr>
        <w:pStyle w:val="2"/>
        <w:spacing w:line="255" w:lineRule="auto"/>
      </w:pPr>
    </w:p>
    <w:p>
      <w:pPr>
        <w:spacing w:before="102" w:line="221" w:lineRule="auto"/>
        <w:ind w:left="5342"/>
        <w:rPr>
          <w:rFonts w:ascii="仿宋" w:hAnsi="仿宋" w:eastAsia="仿宋" w:cs="仿宋"/>
          <w:sz w:val="31"/>
          <w:szCs w:val="31"/>
        </w:rPr>
      </w:pPr>
      <w:r>
        <w:drawing>
          <wp:anchor distT="0" distB="0" distL="0" distR="0" simplePos="0" relativeHeight="251661312" behindDoc="1" locked="0" layoutInCell="1" allowOverlap="1">
            <wp:simplePos x="0" y="0"/>
            <wp:positionH relativeFrom="column">
              <wp:posOffset>3181985</wp:posOffset>
            </wp:positionH>
            <wp:positionV relativeFrom="paragraph">
              <wp:posOffset>-622935</wp:posOffset>
            </wp:positionV>
            <wp:extent cx="1511935" cy="151193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1511999" cy="1511999"/>
                    </a:xfrm>
                    <a:prstGeom prst="rect">
                      <a:avLst/>
                    </a:prstGeom>
                  </pic:spPr>
                </pic:pic>
              </a:graphicData>
            </a:graphic>
          </wp:anchor>
        </w:drawing>
      </w:r>
      <w:r>
        <w:rPr>
          <w:rFonts w:ascii="仿宋" w:hAnsi="仿宋" w:eastAsia="仿宋" w:cs="仿宋"/>
          <w:spacing w:val="5"/>
          <w:sz w:val="31"/>
          <w:szCs w:val="31"/>
        </w:rPr>
        <w:t>海南省财政厅</w:t>
      </w:r>
    </w:p>
    <w:p>
      <w:pPr>
        <w:pStyle w:val="2"/>
        <w:spacing w:before="169" w:line="220" w:lineRule="auto"/>
        <w:ind w:left="5185"/>
        <w:rPr>
          <w:rFonts w:ascii="仿宋" w:hAnsi="仿宋" w:eastAsia="仿宋" w:cs="仿宋"/>
          <w:sz w:val="31"/>
          <w:szCs w:val="31"/>
        </w:rPr>
      </w:pPr>
      <w:r>
        <w:rPr>
          <w:spacing w:val="11"/>
          <w:sz w:val="31"/>
          <w:szCs w:val="31"/>
        </w:rPr>
        <w:t xml:space="preserve">2023 </w:t>
      </w:r>
      <w:r>
        <w:rPr>
          <w:rFonts w:ascii="仿宋" w:hAnsi="仿宋" w:eastAsia="仿宋" w:cs="仿宋"/>
          <w:spacing w:val="11"/>
          <w:sz w:val="31"/>
          <w:szCs w:val="31"/>
        </w:rPr>
        <w:t>年</w:t>
      </w:r>
      <w:r>
        <w:rPr>
          <w:rFonts w:ascii="仿宋" w:hAnsi="仿宋" w:eastAsia="仿宋" w:cs="仿宋"/>
          <w:spacing w:val="-51"/>
          <w:sz w:val="31"/>
          <w:szCs w:val="31"/>
        </w:rPr>
        <w:t xml:space="preserve"> </w:t>
      </w:r>
      <w:r>
        <w:rPr>
          <w:spacing w:val="11"/>
          <w:sz w:val="31"/>
          <w:szCs w:val="31"/>
        </w:rPr>
        <w:t>9</w:t>
      </w:r>
      <w:r>
        <w:rPr>
          <w:spacing w:val="25"/>
          <w:sz w:val="31"/>
          <w:szCs w:val="31"/>
        </w:rPr>
        <w:t xml:space="preserve"> </w:t>
      </w:r>
      <w:r>
        <w:rPr>
          <w:rFonts w:ascii="仿宋" w:hAnsi="仿宋" w:eastAsia="仿宋" w:cs="仿宋"/>
          <w:spacing w:val="11"/>
          <w:sz w:val="31"/>
          <w:szCs w:val="31"/>
        </w:rPr>
        <w:t>月</w:t>
      </w:r>
      <w:r>
        <w:rPr>
          <w:rFonts w:ascii="仿宋" w:hAnsi="仿宋" w:eastAsia="仿宋" w:cs="仿宋"/>
          <w:spacing w:val="-47"/>
          <w:sz w:val="31"/>
          <w:szCs w:val="31"/>
        </w:rPr>
        <w:t xml:space="preserve"> </w:t>
      </w:r>
      <w:r>
        <w:rPr>
          <w:spacing w:val="11"/>
          <w:sz w:val="31"/>
          <w:szCs w:val="31"/>
        </w:rPr>
        <w:t>26</w:t>
      </w:r>
      <w:r>
        <w:rPr>
          <w:spacing w:val="68"/>
          <w:sz w:val="31"/>
          <w:szCs w:val="31"/>
        </w:rPr>
        <w:t xml:space="preserve"> </w:t>
      </w:r>
      <w:r>
        <w:rPr>
          <w:rFonts w:ascii="仿宋" w:hAnsi="仿宋" w:eastAsia="仿宋" w:cs="仿宋"/>
          <w:spacing w:val="11"/>
          <w:sz w:val="31"/>
          <w:szCs w:val="31"/>
        </w:rPr>
        <w:t>日</w:t>
      </w:r>
    </w:p>
    <w:p>
      <w:pPr>
        <w:pStyle w:val="2"/>
        <w:spacing w:line="342" w:lineRule="auto"/>
      </w:pPr>
    </w:p>
    <w:p>
      <w:pPr>
        <w:pStyle w:val="2"/>
        <w:spacing w:line="342" w:lineRule="auto"/>
      </w:pPr>
    </w:p>
    <w:p>
      <w:pPr>
        <w:spacing w:before="92" w:line="225" w:lineRule="auto"/>
        <w:ind w:left="334"/>
        <w:rPr>
          <w:rFonts w:ascii="黑体" w:hAnsi="黑体" w:eastAsia="黑体" w:cs="黑体"/>
          <w:sz w:val="28"/>
          <w:szCs w:val="28"/>
        </w:rPr>
      </w:pPr>
      <w:r>
        <w:rPr>
          <w:rFonts w:ascii="黑体" w:hAnsi="黑体" w:eastAsia="黑体" w:cs="黑体"/>
          <w:spacing w:val="-1"/>
          <w:sz w:val="28"/>
          <w:szCs w:val="28"/>
        </w:rPr>
        <w:t>信息公开选项：此件主动公开</w:t>
      </w:r>
    </w:p>
    <w:p>
      <w:pPr>
        <w:spacing w:line="27" w:lineRule="exact"/>
      </w:pPr>
    </w:p>
    <w:tbl>
      <w:tblPr>
        <w:tblStyle w:val="7"/>
        <w:tblW w:w="890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40"/>
        <w:gridCol w:w="456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84" w:hRule="atLeast"/>
        </w:trPr>
        <w:tc>
          <w:tcPr>
            <w:tcW w:w="4340" w:type="dxa"/>
            <w:tcBorders>
              <w:top w:val="single" w:color="000000" w:sz="4" w:space="0"/>
              <w:bottom w:val="single" w:color="000000" w:sz="4" w:space="0"/>
            </w:tcBorders>
            <w:vAlign w:val="top"/>
          </w:tcPr>
          <w:p>
            <w:pPr>
              <w:spacing w:before="189" w:line="221" w:lineRule="auto"/>
              <w:ind w:left="340"/>
              <w:rPr>
                <w:rFonts w:ascii="仿宋" w:hAnsi="仿宋" w:eastAsia="仿宋" w:cs="仿宋"/>
                <w:sz w:val="28"/>
                <w:szCs w:val="28"/>
              </w:rPr>
            </w:pPr>
            <w:r>
              <w:rPr>
                <w:rFonts w:ascii="仿宋" w:hAnsi="仿宋" w:eastAsia="仿宋" w:cs="仿宋"/>
                <w:spacing w:val="-2"/>
                <w:sz w:val="28"/>
                <w:szCs w:val="28"/>
              </w:rPr>
              <w:t>海南省林业局办公室</w:t>
            </w:r>
          </w:p>
        </w:tc>
        <w:tc>
          <w:tcPr>
            <w:tcW w:w="4568" w:type="dxa"/>
            <w:tcBorders>
              <w:top w:val="single" w:color="000000" w:sz="4" w:space="0"/>
              <w:bottom w:val="single" w:color="000000" w:sz="4" w:space="0"/>
            </w:tcBorders>
            <w:vAlign w:val="top"/>
          </w:tcPr>
          <w:p>
            <w:pPr>
              <w:spacing w:before="189" w:line="220" w:lineRule="auto"/>
              <w:ind w:right="16"/>
              <w:jc w:val="right"/>
              <w:rPr>
                <w:rFonts w:ascii="仿宋" w:hAnsi="仿宋" w:eastAsia="仿宋" w:cs="仿宋"/>
                <w:sz w:val="28"/>
                <w:szCs w:val="28"/>
              </w:rPr>
            </w:pPr>
            <w:r>
              <w:rPr>
                <w:rFonts w:ascii="Arial" w:hAnsi="Arial" w:eastAsia="Arial" w:cs="Arial"/>
                <w:spacing w:val="1"/>
                <w:sz w:val="28"/>
                <w:szCs w:val="28"/>
              </w:rPr>
              <w:t xml:space="preserve">2023 </w:t>
            </w:r>
            <w:r>
              <w:rPr>
                <w:rFonts w:ascii="仿宋" w:hAnsi="仿宋" w:eastAsia="仿宋" w:cs="仿宋"/>
                <w:spacing w:val="1"/>
                <w:sz w:val="28"/>
                <w:szCs w:val="28"/>
              </w:rPr>
              <w:t>年</w:t>
            </w:r>
            <w:r>
              <w:rPr>
                <w:rFonts w:ascii="仿宋" w:hAnsi="仿宋" w:eastAsia="仿宋" w:cs="仿宋"/>
                <w:spacing w:val="-56"/>
                <w:sz w:val="28"/>
                <w:szCs w:val="28"/>
              </w:rPr>
              <w:t xml:space="preserve"> </w:t>
            </w:r>
            <w:r>
              <w:rPr>
                <w:rFonts w:ascii="Arial" w:hAnsi="Arial" w:eastAsia="Arial" w:cs="Arial"/>
                <w:spacing w:val="1"/>
                <w:sz w:val="28"/>
                <w:szCs w:val="28"/>
              </w:rPr>
              <w:t xml:space="preserve">9 </w:t>
            </w:r>
            <w:r>
              <w:rPr>
                <w:rFonts w:ascii="仿宋" w:hAnsi="仿宋" w:eastAsia="仿宋" w:cs="仿宋"/>
                <w:spacing w:val="1"/>
                <w:sz w:val="28"/>
                <w:szCs w:val="28"/>
              </w:rPr>
              <w:t>月</w:t>
            </w:r>
            <w:r>
              <w:rPr>
                <w:rFonts w:ascii="仿宋" w:hAnsi="仿宋" w:eastAsia="仿宋" w:cs="仿宋"/>
                <w:spacing w:val="-61"/>
                <w:sz w:val="28"/>
                <w:szCs w:val="28"/>
              </w:rPr>
              <w:t xml:space="preserve"> </w:t>
            </w:r>
            <w:r>
              <w:rPr>
                <w:rFonts w:ascii="Arial" w:hAnsi="Arial" w:eastAsia="Arial" w:cs="Arial"/>
                <w:spacing w:val="1"/>
                <w:sz w:val="28"/>
                <w:szCs w:val="28"/>
              </w:rPr>
              <w:t>26</w:t>
            </w:r>
            <w:r>
              <w:rPr>
                <w:rFonts w:ascii="Arial" w:hAnsi="Arial" w:eastAsia="Arial" w:cs="Arial"/>
                <w:spacing w:val="47"/>
                <w:sz w:val="28"/>
                <w:szCs w:val="28"/>
              </w:rPr>
              <w:t xml:space="preserve"> </w:t>
            </w:r>
            <w:r>
              <w:rPr>
                <w:rFonts w:ascii="仿宋" w:hAnsi="仿宋" w:eastAsia="仿宋" w:cs="仿宋"/>
                <w:spacing w:val="1"/>
                <w:sz w:val="28"/>
                <w:szCs w:val="28"/>
              </w:rPr>
              <w:t>日印发</w:t>
            </w:r>
          </w:p>
        </w:tc>
      </w:tr>
    </w:tbl>
    <w:p>
      <w:pPr>
        <w:pStyle w:val="2"/>
        <w:spacing w:line="342" w:lineRule="auto"/>
      </w:pPr>
    </w:p>
    <w:p>
      <w:pPr>
        <w:pStyle w:val="2"/>
        <w:spacing w:line="342" w:lineRule="auto"/>
      </w:pPr>
    </w:p>
    <w:p>
      <w:pPr>
        <w:pStyle w:val="2"/>
        <w:spacing w:line="342" w:lineRule="auto"/>
      </w:pPr>
    </w:p>
    <w:p>
      <w:pPr>
        <w:pStyle w:val="2"/>
        <w:spacing w:line="342" w:lineRule="auto"/>
      </w:pPr>
    </w:p>
    <w:p>
      <w:pPr>
        <w:pStyle w:val="2"/>
        <w:spacing w:line="342" w:lineRule="auto"/>
      </w:pPr>
    </w:p>
    <w:p>
      <w:pPr>
        <w:pStyle w:val="2"/>
        <w:spacing w:line="342" w:lineRule="auto"/>
      </w:pPr>
      <w:bookmarkStart w:id="0" w:name="_GoBack"/>
      <w:bookmarkEnd w:id="0"/>
    </w:p>
    <w:p>
      <w:pPr>
        <w:pStyle w:val="4"/>
        <w:widowControl/>
        <w:spacing w:before="0" w:beforeAutospacing="0" w:after="0" w:afterAutospacing="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海南省林下经济省级示范基地奖补资金</w:t>
      </w:r>
    </w:p>
    <w:p>
      <w:pPr>
        <w:pStyle w:val="4"/>
        <w:widowControl/>
        <w:spacing w:before="0" w:beforeAutospacing="0" w:after="0" w:afterAutospacing="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管理实施细则</w:t>
      </w:r>
      <w:r>
        <w:rPr>
          <w:rFonts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rPr>
        <w:t>试行）</w:t>
      </w:r>
    </w:p>
    <w:p>
      <w:pPr>
        <w:pStyle w:val="4"/>
        <w:widowControl/>
        <w:spacing w:before="0" w:beforeAutospacing="0" w:after="300" w:afterAutospacing="0" w:line="420" w:lineRule="atLeast"/>
        <w:jc w:val="center"/>
        <w:rPr>
          <w:rFonts w:hint="eastAsia" w:ascii="仿宋_GB2312" w:hAnsi="仿宋_GB2312" w:eastAsia="仿宋_GB2312" w:cs="仿宋_GB2312"/>
          <w:color w:val="333333"/>
          <w:sz w:val="32"/>
          <w:szCs w:val="32"/>
        </w:rPr>
      </w:pPr>
    </w:p>
    <w:p>
      <w:pPr>
        <w:spacing w:after="312" w:afterLines="100"/>
        <w:jc w:val="center"/>
        <w:rPr>
          <w:rFonts w:hint="eastAsia" w:ascii="黑体" w:hAnsi="黑体" w:eastAsia="黑体" w:cs="黑体"/>
          <w:sz w:val="32"/>
          <w:szCs w:val="32"/>
        </w:rPr>
      </w:pPr>
      <w:r>
        <w:rPr>
          <w:rFonts w:hint="eastAsia" w:ascii="黑体" w:hAnsi="黑体" w:eastAsia="黑体" w:cs="黑体"/>
          <w:sz w:val="32"/>
          <w:szCs w:val="32"/>
        </w:rPr>
        <w:t>第一章  总 则</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积极发展林下经济，加大扶持培育发展新型林业经营主体力度，促进我省林下经济高质量发展，根据《关于科学利用林地资源促进木本粮油和林下经济高质量发展的意见》《海南省促进经济高质量发展若干财政措施》《海南省促进经济高质量发展资金管理办法》等精神，结合实际，制定本实施细则。</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本实施细则所称海南省林下经济省级示范基地奖补资金（以下简称“奖补资金”）是指省财政设立的“促进经济高质量发展资金”中，用于推动林下经济省级示范基地扩大有效投资的资金。</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 xml:space="preserve">第三条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奖补资金的管理和使用坚持依法依规、公平公正、突出重点、科学分配、规范管理的原则，采取“事后奖补”方式。实行“自主申报、社会公示、政府决策、绩效评价”制度。</w:t>
      </w:r>
    </w:p>
    <w:p>
      <w:pPr>
        <w:spacing w:line="600" w:lineRule="exact"/>
        <w:ind w:firstLine="640" w:firstLineChars="200"/>
        <w:rPr>
          <w:rFonts w:hint="eastAsia" w:ascii="仿宋_GB2312" w:hAnsi="仿宋_GB2312" w:eastAsia="仿宋_GB2312" w:cs="仿宋_GB2312"/>
          <w:sz w:val="32"/>
          <w:szCs w:val="32"/>
        </w:rPr>
      </w:pPr>
    </w:p>
    <w:p>
      <w:pPr>
        <w:spacing w:after="312" w:afterLines="100"/>
        <w:jc w:val="center"/>
        <w:rPr>
          <w:rFonts w:hint="eastAsia" w:ascii="黑体" w:hAnsi="黑体" w:eastAsia="黑体" w:cs="黑体"/>
          <w:sz w:val="32"/>
          <w:szCs w:val="32"/>
        </w:rPr>
      </w:pPr>
      <w:r>
        <w:rPr>
          <w:rFonts w:hint="eastAsia" w:ascii="黑体" w:hAnsi="黑体" w:eastAsia="黑体" w:cs="黑体"/>
          <w:sz w:val="32"/>
          <w:szCs w:val="32"/>
        </w:rPr>
        <w:t>第二章  奖补范围和标准</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 xml:space="preserve">第四条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奖补对象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奖补对象为经《海南省林下经济省级示范基地认定管理办法（试行）》认定的省级示范基地。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申请奖补的</w:t>
      </w:r>
      <w:r>
        <w:rPr>
          <w:rFonts w:hint="eastAsia" w:ascii="仿宋_GB2312" w:hAnsi="仿宋_GB2312" w:eastAsia="仿宋_GB2312" w:cs="仿宋_GB2312"/>
          <w:sz w:val="32"/>
          <w:szCs w:val="32"/>
        </w:rPr>
        <w:t>生</w:t>
      </w:r>
      <w:r>
        <w:rPr>
          <w:rFonts w:hint="eastAsia" w:ascii="仿宋_GB2312" w:hAnsi="仿宋_GB2312" w:eastAsia="仿宋_GB2312" w:cs="仿宋_GB2312"/>
          <w:sz w:val="32"/>
          <w:szCs w:val="32"/>
          <w:lang w:val="en"/>
        </w:rPr>
        <w:t>产经营单位必须</w:t>
      </w:r>
      <w:r>
        <w:rPr>
          <w:rFonts w:hint="eastAsia" w:ascii="仿宋_GB2312" w:hAnsi="仿宋_GB2312" w:eastAsia="仿宋_GB2312" w:cs="仿宋_GB2312"/>
          <w:sz w:val="32"/>
          <w:szCs w:val="32"/>
        </w:rPr>
        <w:t>遵纪守法，诚实守信，近2年内无不良信用记录，无生产（质量）安全事故、破坏林地、损害成员利益引发的群体性事件，无行业通报批评等造成不良社会影响的事件。</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第五条</w:t>
      </w:r>
      <w:r>
        <w:rPr>
          <w:rFonts w:hint="eastAsia" w:ascii="仿宋_GB2312" w:hAnsi="仿宋_GB2312" w:eastAsia="仿宋_GB2312" w:cs="仿宋_GB2312"/>
          <w:sz w:val="32"/>
          <w:szCs w:val="32"/>
        </w:rPr>
        <w:t xml:space="preserve">  奖补标准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林下经济省级示范基地认定管理办法(试行)》认定的省级示范基地生产经营单位，按认定上年度实际投入资金额(剔除财政性资金投入)的20%，给予一次性最高不超过300万元奖补;有加工产业的省级示范基地生产经营单位，年产值300万元以上，项目用工不低于15人，稳定用工不低于3个月，上年度实际固定资产投入不低于200万元的，按认定上年度实际投入资金额(剔除财政性资金投入)的20%，给予一次性最高不超过500万元奖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奖补资金应当用于基地建设、增量扩产、技术培训、品牌创建、产品研发、产品营销等。法定代表人为同一人的不同经营主体不得重复申报同类型奖补。</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第六条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申报材料</w:t>
      </w:r>
    </w:p>
    <w:p>
      <w:pPr>
        <w:spacing w:line="60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1.《海南省林下经济省级示范基地奖补资金申报表》原件。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2.海南省林下经济省级示范基地认定文件复印件。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3.申报主体营业执照复印件、法人代表身份证复印件。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会计事务所出具的审计报告，报告需包含连续经营情况、年产值情况、上一年度的投入资金情况。以及银行流水、交税凭证等能够证明连续经营两年（含）以上的材料、营业收入证明材料、相关投资的财务支出有关票据等证明材料。</w:t>
      </w:r>
    </w:p>
    <w:p>
      <w:pPr>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.奖补资金使用方案，方案应包含预计使用奖补资金的项目内容、任务量、预期经济效益和社会效益等。</w:t>
      </w:r>
    </w:p>
    <w:p>
      <w:pPr>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.申报主体对提供资金申请材料真实性、合法性负责的承诺书（法定代表人签字盖章）。</w:t>
      </w:r>
    </w:p>
    <w:p>
      <w:pPr>
        <w:jc w:val="center"/>
        <w:rPr>
          <w:rFonts w:hint="eastAsia" w:ascii="黑体" w:hAnsi="黑体" w:eastAsia="黑体" w:cs="黑体"/>
          <w:sz w:val="32"/>
          <w:szCs w:val="32"/>
        </w:rPr>
      </w:pPr>
    </w:p>
    <w:p>
      <w:pPr>
        <w:spacing w:after="312" w:afterLines="100"/>
        <w:jc w:val="center"/>
        <w:rPr>
          <w:rFonts w:hint="eastAsia" w:ascii="黑体" w:hAnsi="黑体" w:eastAsia="黑体" w:cs="黑体"/>
          <w:sz w:val="32"/>
          <w:szCs w:val="32"/>
        </w:rPr>
      </w:pPr>
      <w:r>
        <w:rPr>
          <w:rFonts w:hint="eastAsia" w:ascii="黑体" w:hAnsi="黑体" w:eastAsia="黑体" w:cs="黑体"/>
          <w:sz w:val="32"/>
          <w:szCs w:val="32"/>
        </w:rPr>
        <w:t>第三章  职责与分工</w:t>
      </w:r>
    </w:p>
    <w:p>
      <w:pPr>
        <w:spacing w:line="600" w:lineRule="exact"/>
        <w:ind w:firstLine="640" w:firstLineChars="200"/>
        <w:rPr>
          <w:rFonts w:hint="eastAsia" w:ascii="仿宋_GB2312" w:hAnsi="仿宋_GB2312" w:eastAsia="仿宋_GB2312" w:cs="仿宋_GB2312"/>
          <w:spacing w:val="10"/>
          <w:sz w:val="32"/>
          <w:szCs w:val="32"/>
        </w:rPr>
      </w:pPr>
      <w:r>
        <w:rPr>
          <w:rFonts w:hint="eastAsia" w:ascii="黑体" w:hAnsi="黑体" w:eastAsia="黑体" w:cs="仿宋_GB2312"/>
          <w:bCs/>
          <w:sz w:val="32"/>
          <w:szCs w:val="32"/>
        </w:rPr>
        <w:t>第七条</w:t>
      </w:r>
      <w:r>
        <w:rPr>
          <w:rFonts w:hint="eastAsia" w:ascii="仿宋_GB2312" w:hAnsi="仿宋_GB2312" w:eastAsia="仿宋_GB2312" w:cs="仿宋_GB2312"/>
          <w:sz w:val="32"/>
          <w:szCs w:val="32"/>
        </w:rPr>
        <w:t xml:space="preserve">  省林业局会同省农业农村厅负责组织申报、评审、公示等工作。市县林业主管部门会同市县农业农村局负</w:t>
      </w:r>
      <w:r>
        <w:rPr>
          <w:rFonts w:hint="eastAsia" w:ascii="仿宋_GB2312" w:hAnsi="仿宋_GB2312" w:eastAsia="仿宋_GB2312" w:cs="仿宋_GB2312"/>
          <w:spacing w:val="10"/>
          <w:sz w:val="32"/>
          <w:szCs w:val="32"/>
        </w:rPr>
        <w:t>责本辖区省级示范基地奖补资金政策宣传、组织实施等工作。</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 xml:space="preserve">第八条  </w:t>
      </w:r>
      <w:r>
        <w:rPr>
          <w:rFonts w:hint="eastAsia" w:ascii="仿宋_GB2312" w:hAnsi="黑体" w:eastAsia="仿宋_GB2312" w:cs="仿宋_GB2312"/>
          <w:bCs/>
          <w:sz w:val="32"/>
          <w:szCs w:val="32"/>
        </w:rPr>
        <w:t>省</w:t>
      </w:r>
      <w:r>
        <w:rPr>
          <w:rFonts w:hint="eastAsia" w:ascii="仿宋_GB2312" w:hAnsi="仿宋_GB2312" w:eastAsia="仿宋_GB2312" w:cs="仿宋_GB2312"/>
          <w:sz w:val="32"/>
          <w:szCs w:val="32"/>
        </w:rPr>
        <w:t>财政厅负责奖补资金的预算安排、审核、资金拨付，指导项目主管部门加强资金监管和绩效管理。</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第九条</w:t>
      </w:r>
      <w:r>
        <w:rPr>
          <w:rFonts w:hint="eastAsia" w:ascii="仿宋_GB2312" w:hAnsi="仿宋_GB2312" w:eastAsia="仿宋_GB2312" w:cs="仿宋_GB2312"/>
          <w:sz w:val="32"/>
          <w:szCs w:val="32"/>
        </w:rPr>
        <w:t xml:space="preserve">  申报主体对奖补资金申报和使用的真实性、合规性和有效性承担主体责任。</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 xml:space="preserve">第十条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工作程序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省林业局在单位门户网站和“海南省惠企政策兑现服务系统”（以下简称“海易兑平台”）发布海南省林下经济省级示范基地奖补资金申报指南，申请单位通过“海易兑平台”申报，提交相关申报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（二）初审。市县林业主管部门通过“海易兑平台”受理申报材料，并会同农业农村局对申报材料的完整性、合规性、真实性进行初审及现场核实，符合条件的做出初审意见报省林业局。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（三）审定。省林业局会同省农业农村厅组织相关专家，对申报主体进行评审，提出拟奖补的单位和奖励额度，并</w:t>
      </w:r>
      <w:r>
        <w:rPr>
          <w:rFonts w:ascii="仿宋_GB2312" w:hAnsi="仿宋_GB2312" w:eastAsia="仿宋_GB2312" w:cs="仿宋_GB2312"/>
          <w:sz w:val="32"/>
          <w:szCs w:val="32"/>
        </w:rPr>
        <w:t>按相关程序</w:t>
      </w:r>
      <w:r>
        <w:rPr>
          <w:rFonts w:hint="eastAsia" w:ascii="仿宋_GB2312" w:hAnsi="仿宋_GB2312" w:eastAsia="仿宋_GB2312" w:cs="仿宋_GB2312"/>
          <w:sz w:val="32"/>
          <w:szCs w:val="32"/>
        </w:rPr>
        <w:t>审定。奖补审核结果在单位门户网站或“海易兑平台”公示5个工作日，</w:t>
      </w:r>
      <w:r>
        <w:rPr>
          <w:rFonts w:hint="eastAsia" w:ascii="仿宋_GB2312" w:hAnsi="仿宋" w:eastAsia="仿宋_GB2312"/>
          <w:sz w:val="28"/>
          <w:szCs w:val="28"/>
        </w:rPr>
        <w:t>公</w:t>
      </w:r>
      <w:r>
        <w:rPr>
          <w:rFonts w:hint="eastAsia" w:ascii="仿宋_GB2312" w:hAnsi="仿宋_GB2312" w:eastAsia="仿宋_GB2312" w:cs="仿宋_GB2312"/>
          <w:sz w:val="32"/>
          <w:szCs w:val="32"/>
        </w:rPr>
        <w:t>示无异议后列入省财政年度奖补计划报省财政厅。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（四）拨付。省财政厅对奖补审核结果进行复核后安排资金，按照国库集中支付制度有关规定拨付。</w:t>
      </w:r>
    </w:p>
    <w:p>
      <w:pPr>
        <w:spacing w:line="720" w:lineRule="auto"/>
        <w:jc w:val="center"/>
        <w:rPr>
          <w:rFonts w:hint="eastAsia" w:ascii="黑体" w:hAnsi="黑体" w:eastAsia="黑体" w:cs="黑体"/>
          <w:sz w:val="32"/>
          <w:szCs w:val="32"/>
        </w:rPr>
      </w:pPr>
    </w:p>
    <w:p>
      <w:pPr>
        <w:spacing w:after="312" w:afterLines="100"/>
        <w:jc w:val="center"/>
        <w:rPr>
          <w:rFonts w:hint="eastAsia" w:ascii="黑体" w:hAnsi="黑体" w:eastAsia="黑体" w:cs="黑体"/>
          <w:sz w:val="32"/>
          <w:szCs w:val="32"/>
        </w:rPr>
      </w:pPr>
      <w:r>
        <w:rPr>
          <w:rFonts w:hint="eastAsia" w:ascii="黑体" w:hAnsi="黑体" w:eastAsia="黑体" w:cs="黑体"/>
          <w:sz w:val="32"/>
          <w:szCs w:val="32"/>
        </w:rPr>
        <w:t>第四章  绩效与监管</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第十一条</w:t>
      </w:r>
      <w:r>
        <w:rPr>
          <w:rFonts w:hint="eastAsia" w:ascii="仿宋_GB2312" w:hAnsi="仿宋_GB2312" w:eastAsia="仿宋_GB2312" w:cs="仿宋_GB2312"/>
          <w:sz w:val="32"/>
          <w:szCs w:val="32"/>
        </w:rPr>
        <w:t xml:space="preserve">  绩效管理分工</w:t>
      </w:r>
    </w:p>
    <w:p>
      <w:pPr>
        <w:numPr>
          <w:ilvl w:val="0"/>
          <w:numId w:val="1"/>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省林业局会同省农业农村厅负责绩效运行监控，市县林业主管部门会同农业农村局负责奖补资金年度绩效自评和绩效管理。</w:t>
      </w:r>
    </w:p>
    <w:p>
      <w:pPr>
        <w:numPr>
          <w:ilvl w:val="0"/>
          <w:numId w:val="1"/>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省财政厅负责绩效管理的具体指导。</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第十二条</w:t>
      </w:r>
      <w:r>
        <w:rPr>
          <w:rFonts w:hint="eastAsia" w:ascii="仿宋_GB2312" w:hAnsi="仿宋_GB2312" w:eastAsia="仿宋_GB2312" w:cs="仿宋_GB2312"/>
          <w:sz w:val="32"/>
          <w:szCs w:val="32"/>
        </w:rPr>
        <w:t xml:space="preserve">  奖补资金采取动态评估调整制度，每年由省林业局、省农业农村厅、省财政厅组织开展资金使用情况动态绩效评估，根据评估情况及时调整完善奖补细则。</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第十三条</w:t>
      </w:r>
      <w:r>
        <w:rPr>
          <w:rFonts w:hint="eastAsia" w:ascii="仿宋_GB2312" w:hAnsi="仿宋_GB2312" w:eastAsia="仿宋_GB2312" w:cs="仿宋_GB2312"/>
          <w:sz w:val="32"/>
          <w:szCs w:val="32"/>
        </w:rPr>
        <w:t xml:space="preserve">  获得奖补</w:t>
      </w:r>
      <w:r>
        <w:rPr>
          <w:rFonts w:hint="eastAsia" w:ascii="仿宋_GB2312" w:hAnsi="仿宋_GB2312" w:eastAsia="仿宋_GB2312" w:cs="仿宋_GB2312"/>
          <w:sz w:val="32"/>
          <w:szCs w:val="32"/>
          <w:lang w:val="en"/>
        </w:rPr>
        <w:t>的</w:t>
      </w:r>
      <w:r>
        <w:rPr>
          <w:rFonts w:hint="eastAsia" w:ascii="仿宋_GB2312" w:hAnsi="仿宋_GB2312" w:eastAsia="仿宋_GB2312" w:cs="仿宋_GB2312"/>
          <w:sz w:val="32"/>
          <w:szCs w:val="32"/>
        </w:rPr>
        <w:t>生</w:t>
      </w:r>
      <w:r>
        <w:rPr>
          <w:rFonts w:hint="eastAsia" w:ascii="仿宋_GB2312" w:hAnsi="仿宋_GB2312" w:eastAsia="仿宋_GB2312" w:cs="仿宋_GB2312"/>
          <w:sz w:val="32"/>
          <w:szCs w:val="32"/>
          <w:lang w:val="en"/>
        </w:rPr>
        <w:t>产经营单位</w:t>
      </w:r>
      <w:r>
        <w:rPr>
          <w:rFonts w:hint="eastAsia" w:ascii="仿宋_GB2312" w:hAnsi="仿宋_GB2312" w:eastAsia="仿宋_GB2312" w:cs="仿宋_GB2312"/>
          <w:sz w:val="32"/>
          <w:szCs w:val="32"/>
        </w:rPr>
        <w:t>对资金使用绩效承担主体责任，自觉接受政府相关部门的监督检查，对申报资料的真实性、合规性负责，不得隐瞒虚报、虚增多领和重复申报。对违反规定骗取、使用财政资金的，将按照《财政违法行为处罚处分条例》等有关法律法规予以处理处罚。</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第十四条</w:t>
      </w:r>
      <w:r>
        <w:rPr>
          <w:rFonts w:hint="eastAsia" w:ascii="仿宋_GB2312" w:hAnsi="仿宋_GB2312" w:eastAsia="仿宋_GB2312" w:cs="仿宋_GB2312"/>
          <w:sz w:val="32"/>
          <w:szCs w:val="32"/>
        </w:rPr>
        <w:t xml:space="preserve">  相关部门工作人员在奖补资金评审及发放过程中如有以权谋私、滥用职权、玩忽职守、徇私舞弊等违法违纪行为的,按照有关规定追究相应责任，构成犯罪的,依法追究刑事责任。</w:t>
      </w:r>
    </w:p>
    <w:p>
      <w:pPr>
        <w:spacing w:after="312" w:afterLines="100"/>
        <w:jc w:val="center"/>
        <w:rPr>
          <w:rFonts w:hint="eastAsia" w:ascii="黑体" w:hAnsi="黑体" w:eastAsia="黑体" w:cs="黑体"/>
          <w:sz w:val="32"/>
          <w:szCs w:val="32"/>
        </w:rPr>
      </w:pPr>
      <w:r>
        <w:rPr>
          <w:rFonts w:hint="eastAsia" w:ascii="黑体" w:hAnsi="黑体" w:eastAsia="黑体" w:cs="黑体"/>
          <w:sz w:val="32"/>
          <w:szCs w:val="32"/>
        </w:rPr>
        <w:t>第五章 附 则</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第十五条</w:t>
      </w:r>
      <w:r>
        <w:rPr>
          <w:rFonts w:hint="eastAsia" w:ascii="黑体" w:hAnsi="黑体" w:eastAsia="黑体" w:cs="仿宋_GB2312"/>
          <w:b/>
          <w:bCs/>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本实施细则由省林业局、省农业农村厅、省财政厅负责解释。</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第十六条</w:t>
      </w:r>
      <w:r>
        <w:rPr>
          <w:rFonts w:hint="eastAsia" w:ascii="仿宋_GB2312" w:hAnsi="仿宋_GB2312" w:eastAsia="仿宋_GB2312" w:cs="仿宋_GB2312"/>
          <w:sz w:val="32"/>
          <w:szCs w:val="32"/>
        </w:rPr>
        <w:t xml:space="preserve">  本实施细则</w:t>
      </w:r>
      <w:r>
        <w:rPr>
          <w:rFonts w:ascii="仿宋_GB2312" w:hAnsi="仿宋_GB2312" w:eastAsia="仿宋_GB2312" w:cs="仿宋_GB2312"/>
          <w:sz w:val="32"/>
          <w:szCs w:val="32"/>
        </w:rPr>
        <w:t>自</w:t>
      </w:r>
      <w:r>
        <w:rPr>
          <w:rFonts w:hint="eastAsia" w:ascii="仿宋_GB2312" w:hAnsi="仿宋_GB2312" w:eastAsia="仿宋_GB2312" w:cs="仿宋_GB2312"/>
          <w:sz w:val="32"/>
          <w:szCs w:val="32"/>
        </w:rPr>
        <w:t>2023年10月30</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起</w:t>
      </w:r>
      <w:r>
        <w:rPr>
          <w:rFonts w:ascii="仿宋_GB2312" w:hAnsi="仿宋_GB2312" w:eastAsia="仿宋_GB2312" w:cs="仿宋_GB2312"/>
          <w:sz w:val="32"/>
          <w:szCs w:val="32"/>
        </w:rPr>
        <w:t>施行</w:t>
      </w:r>
      <w:r>
        <w:rPr>
          <w:rFonts w:hint="eastAsia" w:ascii="仿宋_GB2312" w:hAnsi="仿宋_GB2312" w:eastAsia="仿宋_GB2312" w:cs="仿宋_GB2312"/>
          <w:sz w:val="32"/>
          <w:szCs w:val="32"/>
        </w:rPr>
        <w:t>，有效期至 2025年12月31日。</w:t>
      </w:r>
    </w:p>
    <w:p>
      <w:pPr>
        <w:pStyle w:val="2"/>
        <w:spacing w:before="82" w:line="199" w:lineRule="auto"/>
        <w:rPr>
          <w:sz w:val="28"/>
          <w:szCs w:val="28"/>
        </w:rPr>
      </w:pPr>
    </w:p>
    <w:sectPr>
      <w:footerReference r:id="rId6" w:type="default"/>
      <w:pgSz w:w="11906" w:h="16838"/>
      <w:pgMar w:top="1431" w:right="1452" w:bottom="400" w:left="154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20B0300000000000000"/>
    <w:charset w:val="86"/>
    <w:family w:val="swiss"/>
    <w:pitch w:val="default"/>
    <w:sig w:usb0="00000001" w:usb1="080F181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91" w:lineRule="auto"/>
      <w:ind w:left="7650"/>
      <w:rPr>
        <w:sz w:val="28"/>
        <w:szCs w:val="28"/>
      </w:rPr>
    </w:pPr>
    <w:r>
      <w:rPr>
        <w:spacing w:val="-5"/>
        <w:sz w:val="28"/>
        <w:szCs w:val="28"/>
      </w:rPr>
      <w:t>—  1</w:t>
    </w:r>
    <w:r>
      <w:rPr>
        <w:spacing w:val="59"/>
        <w:w w:val="101"/>
        <w:sz w:val="28"/>
        <w:szCs w:val="28"/>
      </w:rPr>
      <w:t xml:space="preserve"> </w:t>
    </w:r>
    <w:r>
      <w:rPr>
        <w:spacing w:val="-5"/>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BBDB9"/>
    <w:multiLevelType w:val="singleLevel"/>
    <w:tmpl w:val="D7ABBD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EwNzlkMjg4OGZlNWFmNTBjYjBjNTQyZjViMjZiMDAifQ=="/>
  </w:docVars>
  <w:rsids>
    <w:rsidRoot w:val="00000000"/>
    <w:rsid w:val="4B026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2343</Words>
  <Characters>2384</Characters>
  <TotalTime>23</TotalTime>
  <ScaleCrop>false</ScaleCrop>
  <LinksUpToDate>false</LinksUpToDate>
  <CharactersWithSpaces>2477</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2023-09-28T09:16:00Z</dcterms:created>
  <dc:creator>麦潮玉</dc:creator>
  <cp:lastModifiedBy>尤他</cp:lastModifiedBy>
  <dcterms:modified xsi:type="dcterms:W3CDTF">2023-11-27T01:34:57Z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2023-11-27T09:09:05Z</vt:filetime>
  </property>
  <property fmtid="{D5CDD505-2E9C-101B-9397-08002B2CF9AE}" pid="4" name="KSOProductBuildVer">
    <vt:lpwstr>2052-12.1.0.15712</vt:lpwstr>
  </property>
  <property fmtid="{D5CDD505-2E9C-101B-9397-08002B2CF9AE}" pid="5" name="ICV">
    <vt:lpwstr>6C6FC16E156C447590A418577A6A3849_12</vt:lpwstr>
  </property>
</Properties>
</file>