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4641D7">
      <w:pPr>
        <w:keepNext w:val="0"/>
        <w:keepLines w:val="0"/>
        <w:pageBreakBefore w:val="0"/>
        <w:kinsoku/>
        <w:wordWrap/>
        <w:overflowPunct/>
        <w:topLinePunct w:val="0"/>
        <w:autoSpaceDE/>
        <w:autoSpaceDN/>
        <w:bidi w:val="0"/>
        <w:adjustRightInd/>
        <w:snapToGrid/>
        <w:spacing w:line="560" w:lineRule="exact"/>
        <w:jc w:val="left"/>
        <w:textAlignment w:val="auto"/>
        <w:rPr>
          <w:rFonts w:hint="default" w:ascii="黑体" w:hAnsi="ˎ̥" w:eastAsia="黑体"/>
          <w:color w:val="000000"/>
          <w:sz w:val="32"/>
          <w:szCs w:val="32"/>
          <w:highlight w:val="none"/>
          <w:lang w:val="en-US" w:eastAsia="zh-CN"/>
        </w:rPr>
      </w:pPr>
      <w:r>
        <w:rPr>
          <w:rFonts w:hint="eastAsia" w:ascii="黑体" w:hAnsi="ˎ̥" w:eastAsia="黑体"/>
          <w:color w:val="000000"/>
          <w:sz w:val="32"/>
          <w:szCs w:val="32"/>
          <w:highlight w:val="none"/>
          <w:lang w:eastAsia="zh-CN"/>
        </w:rPr>
        <w:t>附件</w:t>
      </w:r>
      <w:r>
        <w:rPr>
          <w:rFonts w:hint="eastAsia" w:ascii="黑体" w:hAnsi="ˎ̥" w:eastAsia="黑体"/>
          <w:color w:val="000000"/>
          <w:sz w:val="32"/>
          <w:szCs w:val="32"/>
          <w:highlight w:val="none"/>
          <w:lang w:val="en-US" w:eastAsia="zh-CN"/>
        </w:rPr>
        <w:t>2</w:t>
      </w:r>
    </w:p>
    <w:p w14:paraId="0507538D">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p>
    <w:p w14:paraId="1B0CEA99">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44"/>
          <w:szCs w:val="44"/>
          <w:highlight w:val="none"/>
        </w:rPr>
      </w:pPr>
      <w:r>
        <w:rPr>
          <w:rFonts w:hint="eastAsia" w:ascii="黑体" w:hAnsi="ˎ̥" w:eastAsia="黑体"/>
          <w:color w:val="000000"/>
          <w:sz w:val="44"/>
          <w:szCs w:val="44"/>
          <w:highlight w:val="none"/>
        </w:rPr>
        <w:t>海南</w:t>
      </w:r>
      <w:r>
        <w:rPr>
          <w:rFonts w:hint="eastAsia" w:ascii="黑体" w:hAnsi="ˎ̥" w:eastAsia="黑体"/>
          <w:color w:val="000000"/>
          <w:sz w:val="44"/>
          <w:szCs w:val="44"/>
          <w:highlight w:val="none"/>
          <w:lang w:val="en-US" w:eastAsia="zh-CN"/>
        </w:rPr>
        <w:t>南林</w:t>
      </w:r>
      <w:r>
        <w:rPr>
          <w:rFonts w:hint="eastAsia" w:ascii="黑体" w:hAnsi="ˎ̥" w:eastAsia="黑体"/>
          <w:color w:val="000000"/>
          <w:sz w:val="44"/>
          <w:szCs w:val="44"/>
          <w:highlight w:val="none"/>
          <w:lang w:eastAsia="zh-CN"/>
        </w:rPr>
        <w:t>省级自然保护区管理站</w:t>
      </w:r>
      <w:r>
        <w:rPr>
          <w:rFonts w:hint="eastAsia" w:ascii="黑体" w:hAnsi="ˎ̥" w:eastAsia="黑体"/>
          <w:color w:val="000000"/>
          <w:sz w:val="44"/>
          <w:szCs w:val="44"/>
          <w:highlight w:val="none"/>
        </w:rPr>
        <w:t>202</w:t>
      </w:r>
      <w:r>
        <w:rPr>
          <w:rFonts w:hint="eastAsia" w:ascii="黑体" w:hAnsi="ˎ̥" w:eastAsia="黑体"/>
          <w:color w:val="000000"/>
          <w:sz w:val="44"/>
          <w:szCs w:val="44"/>
          <w:highlight w:val="none"/>
          <w:lang w:val="en-US" w:eastAsia="zh-CN"/>
        </w:rPr>
        <w:t>3</w:t>
      </w:r>
      <w:r>
        <w:rPr>
          <w:rFonts w:hint="eastAsia" w:ascii="黑体" w:hAnsi="ˎ̥" w:eastAsia="黑体"/>
          <w:color w:val="000000"/>
          <w:sz w:val="44"/>
          <w:szCs w:val="44"/>
          <w:highlight w:val="none"/>
        </w:rPr>
        <w:t>年度部门决算公开</w:t>
      </w:r>
      <w:r>
        <w:rPr>
          <w:rFonts w:ascii="黑体" w:hAnsi="ˎ̥" w:eastAsia="黑体"/>
          <w:color w:val="000000"/>
          <w:sz w:val="44"/>
          <w:szCs w:val="44"/>
          <w:highlight w:val="none"/>
        </w:rPr>
        <w:t>报告</w:t>
      </w:r>
    </w:p>
    <w:p w14:paraId="4D1D0C3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b/>
          <w:color w:val="000000"/>
          <w:sz w:val="32"/>
          <w:szCs w:val="32"/>
          <w:highlight w:val="none"/>
        </w:rPr>
      </w:pPr>
    </w:p>
    <w:p w14:paraId="046020A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黑体" w:eastAsia="黑体" w:cs="黑体"/>
          <w:color w:val="000000"/>
          <w:sz w:val="44"/>
          <w:szCs w:val="44"/>
          <w:highlight w:val="none"/>
        </w:rPr>
      </w:pPr>
      <w:bookmarkStart w:id="0" w:name="_Toc11440_WPSOffice_Type2"/>
      <w:r>
        <w:rPr>
          <w:rFonts w:hint="eastAsia" w:ascii="黑体" w:hAnsi="黑体" w:eastAsia="黑体" w:cs="黑体"/>
          <w:color w:val="000000"/>
          <w:sz w:val="44"/>
          <w:szCs w:val="44"/>
          <w:highlight w:val="none"/>
        </w:rPr>
        <w:t>目  录</w:t>
      </w:r>
    </w:p>
    <w:p w14:paraId="5EF18FEB">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_Toc1704_WPSOffice_Level1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第一部分 基本情况</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14:paraId="784ABAA9">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_Toc20274_WPSOffice_Level2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一、部门</w:t>
      </w:r>
      <w:r>
        <w:rPr>
          <w:rFonts w:hint="eastAsia" w:ascii="仿宋" w:hAnsi="仿宋" w:eastAsia="仿宋" w:cs="仿宋"/>
          <w:color w:val="000000"/>
          <w:sz w:val="32"/>
          <w:szCs w:val="32"/>
          <w:highlight w:val="none"/>
          <w:lang w:eastAsia="zh-CN"/>
        </w:rPr>
        <w:t>（单位）</w:t>
      </w:r>
      <w:r>
        <w:rPr>
          <w:rFonts w:hint="eastAsia" w:ascii="仿宋" w:hAnsi="仿宋" w:eastAsia="仿宋" w:cs="仿宋"/>
          <w:color w:val="000000"/>
          <w:sz w:val="32"/>
          <w:szCs w:val="32"/>
          <w:highlight w:val="none"/>
        </w:rPr>
        <w:t>职责</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14:paraId="7A6EB7D2">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_Toc4833_WPSOffice_Level2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color w:val="000000"/>
          <w:sz w:val="32"/>
          <w:szCs w:val="32"/>
          <w:highlight w:val="none"/>
        </w:rPr>
        <w:t>二、机构设置</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2</w:t>
      </w:r>
      <w:r>
        <w:rPr>
          <w:rFonts w:hint="eastAsia" w:ascii="仿宋" w:hAnsi="仿宋" w:eastAsia="仿宋" w:cs="仿宋"/>
          <w:color w:val="000000"/>
          <w:sz w:val="32"/>
          <w:szCs w:val="32"/>
          <w:highlight w:val="none"/>
        </w:rPr>
        <w:fldChar w:fldCharType="end"/>
      </w:r>
    </w:p>
    <w:p w14:paraId="11D489A6">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_Toc28253_WPSOffice_Level1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第二部分  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年度部门决算公开表</w:t>
      </w:r>
      <w:r>
        <w:rPr>
          <w:color w:val="000000"/>
          <w:sz w:val="32"/>
          <w:szCs w:val="32"/>
          <w:highlight w:val="none"/>
        </w:rPr>
        <w:tab/>
      </w:r>
      <w:r>
        <w:rPr>
          <w:rFonts w:hint="eastAsia"/>
          <w:color w:val="000000"/>
          <w:sz w:val="32"/>
          <w:szCs w:val="32"/>
          <w:highlight w:val="none"/>
          <w:lang w:val="en-US" w:eastAsia="zh-CN"/>
        </w:rPr>
        <w:t>2</w:t>
      </w:r>
      <w:r>
        <w:rPr>
          <w:color w:val="000000"/>
          <w:sz w:val="32"/>
          <w:szCs w:val="32"/>
          <w:highlight w:val="none"/>
        </w:rPr>
        <w:fldChar w:fldCharType="end"/>
      </w:r>
    </w:p>
    <w:p w14:paraId="6748B186">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color w:val="000000"/>
          <w:sz w:val="32"/>
          <w:szCs w:val="32"/>
          <w:highlight w:val="none"/>
        </w:rPr>
      </w:pPr>
      <w:r>
        <w:rPr>
          <w:color w:val="000000"/>
          <w:sz w:val="32"/>
          <w:szCs w:val="32"/>
          <w:highlight w:val="none"/>
        </w:rPr>
        <w:fldChar w:fldCharType="begin"/>
      </w:r>
      <w:r>
        <w:rPr>
          <w:color w:val="000000"/>
          <w:sz w:val="32"/>
          <w:szCs w:val="32"/>
          <w:highlight w:val="none"/>
        </w:rPr>
        <w:instrText xml:space="preserve"> HYPERLINK \l _Toc27590_WPSOffice_Level1 </w:instrText>
      </w:r>
      <w:r>
        <w:rPr>
          <w:color w:val="000000"/>
          <w:sz w:val="32"/>
          <w:szCs w:val="32"/>
          <w:highlight w:val="none"/>
        </w:rPr>
        <w:fldChar w:fldCharType="separate"/>
      </w:r>
      <w:r>
        <w:rPr>
          <w:rFonts w:hint="eastAsia" w:ascii="黑体" w:hAnsi="黑体" w:eastAsia="黑体" w:cs="黑体"/>
          <w:color w:val="000000"/>
          <w:sz w:val="32"/>
          <w:szCs w:val="32"/>
          <w:highlight w:val="none"/>
        </w:rPr>
        <w:t>第三部分</w:t>
      </w:r>
      <w:r>
        <w:rPr>
          <w:rFonts w:hint="eastAsia"/>
          <w:color w:val="000000"/>
          <w:sz w:val="32"/>
          <w:szCs w:val="32"/>
          <w:highlight w:val="none"/>
        </w:rPr>
        <w:t xml:space="preserve">  </w:t>
      </w:r>
      <w:r>
        <w:rPr>
          <w:rFonts w:hint="eastAsia" w:ascii="黑体" w:hAnsi="ˎ̥" w:eastAsia="黑体"/>
          <w:color w:val="000000"/>
          <w:sz w:val="32"/>
          <w:szCs w:val="32"/>
          <w:highlight w:val="none"/>
        </w:rPr>
        <w:t>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年度部门决算情况说明</w:t>
      </w:r>
      <w:r>
        <w:rPr>
          <w:color w:val="000000"/>
          <w:sz w:val="32"/>
          <w:szCs w:val="32"/>
          <w:highlight w:val="none"/>
        </w:rPr>
        <w:tab/>
      </w:r>
      <w:r>
        <w:rPr>
          <w:rFonts w:hint="eastAsia"/>
          <w:color w:val="000000"/>
          <w:sz w:val="32"/>
          <w:szCs w:val="32"/>
          <w:highlight w:val="none"/>
          <w:lang w:val="en-US" w:eastAsia="zh-CN"/>
        </w:rPr>
        <w:t>3</w:t>
      </w:r>
      <w:r>
        <w:rPr>
          <w:color w:val="000000"/>
          <w:sz w:val="32"/>
          <w:szCs w:val="32"/>
          <w:highlight w:val="none"/>
        </w:rPr>
        <w:fldChar w:fldCharType="end"/>
      </w:r>
    </w:p>
    <w:p w14:paraId="0ACE620F">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_Toc21737_WPSOffice_Level2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一、收入支出总体情况说明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14:paraId="2E5A7838">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二、收入决算情况说明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3</w:t>
      </w:r>
      <w:r>
        <w:rPr>
          <w:rFonts w:hint="eastAsia" w:ascii="仿宋" w:hAnsi="仿宋" w:eastAsia="仿宋" w:cs="仿宋"/>
          <w:color w:val="000000"/>
          <w:sz w:val="32"/>
          <w:szCs w:val="32"/>
          <w:highlight w:val="none"/>
        </w:rPr>
        <w:fldChar w:fldCharType="end"/>
      </w:r>
    </w:p>
    <w:p w14:paraId="1D533FCE">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三、支出决算情况说明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14:paraId="3D85FDA7">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四、财政拨款收入支出决算情况说明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4</w:t>
      </w:r>
      <w:r>
        <w:rPr>
          <w:rFonts w:hint="eastAsia" w:ascii="仿宋" w:hAnsi="仿宋" w:eastAsia="仿宋" w:cs="仿宋"/>
          <w:color w:val="000000"/>
          <w:sz w:val="32"/>
          <w:szCs w:val="32"/>
          <w:highlight w:val="none"/>
        </w:rPr>
        <w:fldChar w:fldCharType="end"/>
      </w:r>
    </w:p>
    <w:p w14:paraId="02155FF3">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五、一般公共预算财政拨款支出决算情况说明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5</w:t>
      </w:r>
      <w:r>
        <w:rPr>
          <w:rFonts w:hint="eastAsia" w:ascii="仿宋" w:hAnsi="仿宋" w:eastAsia="仿宋" w:cs="仿宋"/>
          <w:color w:val="000000"/>
          <w:sz w:val="32"/>
          <w:szCs w:val="32"/>
          <w:highlight w:val="none"/>
        </w:rPr>
        <w:fldChar w:fldCharType="end"/>
      </w:r>
    </w:p>
    <w:p w14:paraId="51E029B0">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六、一般公共预算财政拨款基本支出决算情况说明</w:t>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6</w:t>
      </w:r>
    </w:p>
    <w:p w14:paraId="1860F35B">
      <w:pPr>
        <w:pStyle w:val="9"/>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政府性基金预算财政拨款支出决算情况说明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7</w:t>
      </w:r>
    </w:p>
    <w:p w14:paraId="5CFFBB1F">
      <w:pPr>
        <w:pStyle w:val="9"/>
        <w:keepNext w:val="0"/>
        <w:keepLines w:val="0"/>
        <w:pageBreakBefore w:val="0"/>
        <w:numPr>
          <w:ilvl w:val="0"/>
          <w:numId w:val="1"/>
        </w:numPr>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bCs/>
          <w:color w:val="000000"/>
          <w:sz w:val="32"/>
          <w:szCs w:val="32"/>
          <w:highlight w:val="none"/>
        </w:rPr>
        <w:t>国有资本经营预算财政拨款支出决算情况说明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8</w:t>
      </w:r>
    </w:p>
    <w:p w14:paraId="6E00FB1F">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九、财政拨款“三公”经费支出决算情况说明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lang w:val="en-US" w:eastAsia="zh-CN"/>
        </w:rPr>
        <w:t>9</w:t>
      </w:r>
      <w:r>
        <w:rPr>
          <w:rFonts w:hint="eastAsia" w:ascii="仿宋" w:hAnsi="仿宋" w:eastAsia="仿宋" w:cs="仿宋"/>
          <w:color w:val="000000"/>
          <w:sz w:val="32"/>
          <w:szCs w:val="32"/>
          <w:highlight w:val="none"/>
        </w:rPr>
        <w:fldChar w:fldCharType="end"/>
      </w:r>
    </w:p>
    <w:p w14:paraId="2F134272">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rPr>
      </w:pPr>
      <w:r>
        <w:rPr>
          <w:rFonts w:hint="eastAsia" w:ascii="仿宋" w:hAnsi="仿宋" w:eastAsia="仿宋" w:cs="仿宋"/>
          <w:color w:val="000000"/>
          <w:sz w:val="32"/>
          <w:szCs w:val="32"/>
          <w:highlight w:val="none"/>
        </w:rPr>
        <w:fldChar w:fldCharType="begin"/>
      </w:r>
      <w:r>
        <w:rPr>
          <w:rFonts w:hint="eastAsia" w:ascii="仿宋" w:hAnsi="仿宋" w:eastAsia="仿宋" w:cs="仿宋"/>
          <w:color w:val="000000"/>
          <w:sz w:val="32"/>
          <w:szCs w:val="32"/>
          <w:highlight w:val="none"/>
        </w:rPr>
        <w:instrText xml:space="preserve"> HYPERLINK \l _Toc19535_WPSOffice_Level2 </w:instrText>
      </w:r>
      <w:r>
        <w:rPr>
          <w:rFonts w:hint="eastAsia" w:ascii="仿宋" w:hAnsi="仿宋" w:eastAsia="仿宋" w:cs="仿宋"/>
          <w:color w:val="000000"/>
          <w:sz w:val="32"/>
          <w:szCs w:val="32"/>
          <w:highlight w:val="none"/>
        </w:rPr>
        <w:fldChar w:fldCharType="separate"/>
      </w:r>
      <w:r>
        <w:rPr>
          <w:rFonts w:hint="eastAsia" w:ascii="仿宋" w:hAnsi="仿宋" w:eastAsia="仿宋" w:cs="仿宋"/>
          <w:bCs/>
          <w:color w:val="000000"/>
          <w:sz w:val="32"/>
          <w:szCs w:val="32"/>
          <w:highlight w:val="none"/>
        </w:rPr>
        <w:t>十、预算绩效情况说明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fldChar w:fldCharType="end"/>
      </w:r>
      <w:r>
        <w:rPr>
          <w:rFonts w:hint="eastAsia" w:ascii="仿宋" w:hAnsi="仿宋" w:eastAsia="仿宋" w:cs="仿宋"/>
          <w:color w:val="000000"/>
          <w:sz w:val="32"/>
          <w:szCs w:val="32"/>
          <w:highlight w:val="none"/>
        </w:rPr>
        <w:t>11</w:t>
      </w:r>
    </w:p>
    <w:p w14:paraId="242F468D">
      <w:pPr>
        <w:pStyle w:val="9"/>
        <w:keepNext w:val="0"/>
        <w:keepLines w:val="0"/>
        <w:pageBreakBefore w:val="0"/>
        <w:tabs>
          <w:tab w:val="right" w:leader="dot" w:pos="8306"/>
        </w:tabs>
        <w:kinsoku/>
        <w:wordWrap/>
        <w:overflowPunct/>
        <w:topLinePunct w:val="0"/>
        <w:autoSpaceDE/>
        <w:autoSpaceDN/>
        <w:bidi w:val="0"/>
        <w:adjustRightInd/>
        <w:snapToGrid/>
        <w:spacing w:line="560" w:lineRule="exact"/>
        <w:ind w:leftChars="0"/>
        <w:textAlignment w:val="auto"/>
        <w:rPr>
          <w:rFonts w:hint="eastAsia" w:ascii="仿宋" w:hAnsi="仿宋" w:eastAsia="仿宋" w:cs="仿宋"/>
          <w:color w:val="000000"/>
          <w:sz w:val="32"/>
          <w:szCs w:val="32"/>
          <w:highlight w:val="none"/>
          <w:lang w:eastAsia="zh-CN"/>
        </w:rPr>
      </w:pPr>
      <w:r>
        <w:rPr>
          <w:rFonts w:hint="eastAsia" w:ascii="仿宋" w:hAnsi="仿宋" w:eastAsia="仿宋" w:cs="仿宋"/>
          <w:bCs/>
          <w:color w:val="000000"/>
          <w:sz w:val="32"/>
          <w:szCs w:val="32"/>
          <w:highlight w:val="none"/>
        </w:rPr>
        <w:t>十一、其他重要事项情况说明</w:t>
      </w:r>
      <w:r>
        <w:rPr>
          <w:rFonts w:hint="eastAsia" w:ascii="仿宋" w:hAnsi="仿宋" w:eastAsia="仿宋" w:cs="仿宋"/>
          <w:color w:val="000000"/>
          <w:sz w:val="32"/>
          <w:szCs w:val="32"/>
          <w:highlight w:val="none"/>
        </w:rPr>
        <w:tab/>
      </w:r>
      <w:r>
        <w:rPr>
          <w:rFonts w:hint="eastAsia" w:ascii="仿宋" w:hAnsi="仿宋" w:eastAsia="仿宋" w:cs="仿宋"/>
          <w:color w:val="000000"/>
          <w:sz w:val="32"/>
          <w:szCs w:val="32"/>
          <w:highlight w:val="none"/>
        </w:rPr>
        <w:t>1</w:t>
      </w:r>
      <w:r>
        <w:rPr>
          <w:rFonts w:hint="eastAsia" w:ascii="仿宋" w:hAnsi="仿宋" w:eastAsia="仿宋" w:cs="仿宋"/>
          <w:color w:val="000000"/>
          <w:sz w:val="32"/>
          <w:szCs w:val="32"/>
          <w:highlight w:val="none"/>
          <w:lang w:val="en-US" w:eastAsia="zh-CN"/>
        </w:rPr>
        <w:t>3</w:t>
      </w:r>
    </w:p>
    <w:p w14:paraId="3178814C">
      <w:pPr>
        <w:pStyle w:val="8"/>
        <w:keepNext w:val="0"/>
        <w:keepLines w:val="0"/>
        <w:pageBreakBefore w:val="0"/>
        <w:tabs>
          <w:tab w:val="right" w:leader="dot" w:pos="8306"/>
        </w:tabs>
        <w:kinsoku/>
        <w:wordWrap/>
        <w:overflowPunct/>
        <w:topLinePunct w:val="0"/>
        <w:autoSpaceDE/>
        <w:autoSpaceDN/>
        <w:bidi w:val="0"/>
        <w:adjustRightInd/>
        <w:snapToGrid/>
        <w:spacing w:line="560" w:lineRule="exact"/>
        <w:textAlignment w:val="auto"/>
        <w:rPr>
          <w:rFonts w:hint="eastAsia" w:ascii="黑体" w:hAnsi="ˎ̥" w:eastAsia="宋体"/>
          <w:b/>
          <w:color w:val="000000"/>
          <w:sz w:val="32"/>
          <w:szCs w:val="32"/>
          <w:highlight w:val="none"/>
          <w:lang w:eastAsia="zh-CN"/>
        </w:rPr>
      </w:pPr>
      <w:r>
        <w:rPr>
          <w:color w:val="000000"/>
          <w:sz w:val="32"/>
          <w:szCs w:val="32"/>
          <w:highlight w:val="none"/>
        </w:rPr>
        <w:fldChar w:fldCharType="begin"/>
      </w:r>
      <w:r>
        <w:rPr>
          <w:color w:val="000000"/>
          <w:sz w:val="32"/>
          <w:szCs w:val="32"/>
          <w:highlight w:val="none"/>
        </w:rPr>
        <w:instrText xml:space="preserve"> HYPERLINK \l _Toc15425_WPSOffice_Level1 </w:instrText>
      </w:r>
      <w:r>
        <w:rPr>
          <w:color w:val="000000"/>
          <w:sz w:val="32"/>
          <w:szCs w:val="32"/>
          <w:highlight w:val="none"/>
        </w:rPr>
        <w:fldChar w:fldCharType="separate"/>
      </w:r>
      <w:r>
        <w:rPr>
          <w:rFonts w:hint="eastAsia" w:ascii="黑体" w:hAnsi="ˎ̥" w:eastAsia="黑体"/>
          <w:color w:val="000000"/>
          <w:sz w:val="32"/>
          <w:szCs w:val="32"/>
          <w:highlight w:val="none"/>
        </w:rPr>
        <w:t>第四部分  名词解释</w:t>
      </w:r>
      <w:r>
        <w:rPr>
          <w:color w:val="000000"/>
          <w:sz w:val="32"/>
          <w:szCs w:val="32"/>
          <w:highlight w:val="none"/>
        </w:rPr>
        <w:tab/>
      </w:r>
      <w:bookmarkStart w:id="1" w:name="_Toc15425_WPSOffice_Level1Page"/>
      <w:r>
        <w:rPr>
          <w:color w:val="000000"/>
          <w:sz w:val="32"/>
          <w:szCs w:val="32"/>
          <w:highlight w:val="none"/>
        </w:rPr>
        <w:t>1</w:t>
      </w:r>
      <w:bookmarkEnd w:id="1"/>
      <w:r>
        <w:rPr>
          <w:color w:val="000000"/>
          <w:sz w:val="32"/>
          <w:szCs w:val="32"/>
          <w:highlight w:val="none"/>
        </w:rPr>
        <w:fldChar w:fldCharType="end"/>
      </w:r>
      <w:bookmarkEnd w:id="0"/>
      <w:r>
        <w:rPr>
          <w:rFonts w:hint="eastAsia"/>
          <w:color w:val="000000"/>
          <w:sz w:val="32"/>
          <w:szCs w:val="32"/>
          <w:highlight w:val="none"/>
          <w:lang w:val="en-US" w:eastAsia="zh-CN"/>
        </w:rPr>
        <w:t>5</w:t>
      </w:r>
    </w:p>
    <w:p w14:paraId="30AC0DA7">
      <w:pPr>
        <w:jc w:val="center"/>
        <w:rPr>
          <w:rFonts w:hint="eastAsia" w:ascii="黑体" w:hAnsi="ˎ̥" w:eastAsia="黑体"/>
          <w:color w:val="000000"/>
          <w:sz w:val="32"/>
          <w:szCs w:val="32"/>
          <w:highlight w:val="none"/>
        </w:rPr>
      </w:pPr>
      <w:bookmarkStart w:id="2" w:name="_Toc1704_WPSOffice_Level1"/>
      <w:bookmarkStart w:id="3" w:name="_Toc32433_WPSOffice_Level1"/>
      <w:bookmarkStart w:id="4" w:name="_Toc22941_WPSOffice_Level1"/>
      <w:bookmarkStart w:id="5" w:name="_Toc10720_WPSOffice_Level1"/>
      <w:bookmarkStart w:id="6" w:name="_Toc10049_WPSOffice_Level1"/>
      <w:bookmarkStart w:id="7" w:name="_Toc23465_WPSOffice_Level1"/>
      <w:bookmarkStart w:id="8" w:name="_Toc14159_WPSOffice_Level2"/>
      <w:bookmarkStart w:id="9" w:name="_Toc20205_WPSOffice_Level2"/>
      <w:bookmarkStart w:id="10" w:name="_Toc26580_WPSOffice_Level2"/>
      <w:bookmarkStart w:id="11" w:name="_Toc24238_WPSOffice_Level2"/>
      <w:bookmarkStart w:id="12" w:name="_Toc32622_WPSOffice_Level2"/>
      <w:bookmarkStart w:id="13" w:name="_Toc20274_WPSOffice_Level2"/>
    </w:p>
    <w:p w14:paraId="61B269D0">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br w:type="page"/>
      </w:r>
      <w:r>
        <w:rPr>
          <w:rFonts w:hint="eastAsia" w:ascii="黑体" w:hAnsi="ˎ̥" w:eastAsia="黑体"/>
          <w:color w:val="000000"/>
          <w:sz w:val="32"/>
          <w:szCs w:val="32"/>
          <w:highlight w:val="none"/>
        </w:rPr>
        <w:t xml:space="preserve">第一部分  </w:t>
      </w:r>
      <w:bookmarkEnd w:id="2"/>
      <w:bookmarkEnd w:id="3"/>
      <w:bookmarkEnd w:id="4"/>
      <w:bookmarkEnd w:id="5"/>
      <w:bookmarkEnd w:id="6"/>
      <w:bookmarkEnd w:id="7"/>
      <w:r>
        <w:rPr>
          <w:rFonts w:hint="eastAsia" w:ascii="黑体" w:hAnsi="ˎ̥" w:eastAsia="黑体"/>
          <w:color w:val="000000"/>
          <w:sz w:val="32"/>
          <w:szCs w:val="32"/>
          <w:highlight w:val="none"/>
        </w:rPr>
        <w:t>基本情况</w:t>
      </w:r>
    </w:p>
    <w:p w14:paraId="59281D7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p>
    <w:bookmarkEnd w:id="8"/>
    <w:bookmarkEnd w:id="9"/>
    <w:bookmarkEnd w:id="10"/>
    <w:bookmarkEnd w:id="11"/>
    <w:bookmarkEnd w:id="12"/>
    <w:bookmarkEnd w:id="13"/>
    <w:p w14:paraId="6F576FE2">
      <w:pPr>
        <w:pStyle w:val="10"/>
        <w:numPr>
          <w:ilvl w:val="0"/>
          <w:numId w:val="2"/>
        </w:numPr>
        <w:spacing w:before="0" w:beforeAutospacing="1" w:after="0" w:afterAutospacing="1"/>
        <w:ind w:left="720" w:hanging="720" w:firstLineChars="0"/>
        <w:rPr>
          <w:rFonts w:hint="eastAsia" w:ascii="黑体" w:hAnsi="宋体" w:eastAsia="黑体" w:cs="黑体"/>
          <w:sz w:val="32"/>
          <w:szCs w:val="32"/>
          <w:lang w:val="en-US"/>
        </w:rPr>
      </w:pPr>
      <w:r>
        <w:rPr>
          <w:rFonts w:hint="eastAsia" w:ascii="黑体" w:hAnsi="ˎ̥" w:eastAsia="黑体" w:cs="黑体"/>
          <w:sz w:val="32"/>
          <w:szCs w:val="32"/>
          <w:lang w:eastAsia="zh-CN"/>
        </w:rPr>
        <w:t>海南</w:t>
      </w:r>
      <w:r>
        <w:rPr>
          <w:rFonts w:hint="eastAsia" w:ascii="黑体" w:hAnsi="ˎ̥" w:eastAsia="黑体" w:cs="黑体"/>
          <w:sz w:val="32"/>
          <w:szCs w:val="32"/>
          <w:lang w:val="en-US" w:eastAsia="zh-CN"/>
        </w:rPr>
        <w:t>南林</w:t>
      </w:r>
      <w:r>
        <w:rPr>
          <w:rFonts w:hint="eastAsia" w:ascii="黑体" w:hAnsi="ˎ̥" w:eastAsia="黑体" w:cs="黑体"/>
          <w:sz w:val="32"/>
          <w:szCs w:val="32"/>
          <w:lang w:eastAsia="zh-CN"/>
        </w:rPr>
        <w:t>省级自然保护区管理站</w:t>
      </w:r>
      <w:r>
        <w:rPr>
          <w:rFonts w:hint="eastAsia" w:ascii="黑体" w:hAnsi="宋体" w:eastAsia="黑体" w:cs="黑体"/>
          <w:sz w:val="32"/>
          <w:szCs w:val="32"/>
          <w:lang w:eastAsia="zh-CN"/>
        </w:rPr>
        <w:t>职责</w:t>
      </w:r>
    </w:p>
    <w:p w14:paraId="128DF700">
      <w:pPr>
        <w:pStyle w:val="4"/>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㈠负责保护区森林资源的保护和建设管理工作。</w:t>
      </w:r>
    </w:p>
    <w:p w14:paraId="52048AA6">
      <w:pPr>
        <w:pStyle w:val="4"/>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㈡负责保护区森林资源科研监测工作。</w:t>
      </w:r>
    </w:p>
    <w:p w14:paraId="697CB6D9">
      <w:pPr>
        <w:pStyle w:val="4"/>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㈢负责保护区生态环境宣传教育工作。</w:t>
      </w:r>
    </w:p>
    <w:p w14:paraId="12AB46DB">
      <w:pPr>
        <w:pStyle w:val="4"/>
        <w:shd w:val="clear" w:fill="FFFFFF"/>
        <w:spacing w:line="360" w:lineRule="atLeast"/>
        <w:ind w:left="0" w:firstLine="600" w:firstLineChars="200"/>
        <w:rPr>
          <w:rFonts w:hint="eastAsia" w:ascii="仿宋" w:hAnsi="仿宋" w:eastAsia="仿宋" w:cs="仿宋"/>
          <w:color w:val="333333"/>
          <w:sz w:val="30"/>
          <w:szCs w:val="30"/>
          <w:shd w:val="clear" w:fill="FFFFFF"/>
          <w:lang w:val="en-US"/>
        </w:rPr>
      </w:pPr>
      <w:r>
        <w:rPr>
          <w:rFonts w:hint="eastAsia" w:ascii="仿宋" w:hAnsi="仿宋" w:eastAsia="仿宋" w:cs="仿宋"/>
          <w:color w:val="333333"/>
          <w:sz w:val="30"/>
          <w:szCs w:val="30"/>
          <w:shd w:val="clear" w:fill="FFFFFF"/>
          <w:lang w:val="en-US" w:eastAsia="zh-CN"/>
        </w:rPr>
        <w:t>㈣负责协调社区开展森林资源共管工作。</w:t>
      </w:r>
    </w:p>
    <w:p w14:paraId="008D0540">
      <w:pPr>
        <w:spacing w:before="0" w:beforeAutospacing="1" w:after="0" w:afterAutospacing="1"/>
        <w:ind w:left="0" w:firstLine="600" w:firstLineChars="200"/>
        <w:rPr>
          <w:rFonts w:hint="eastAsia" w:ascii="黑体" w:hAnsi="宋体" w:eastAsia="黑体" w:cs="黑体"/>
          <w:sz w:val="32"/>
          <w:szCs w:val="32"/>
          <w:lang w:val="en-US"/>
        </w:rPr>
      </w:pPr>
      <w:r>
        <w:rPr>
          <w:rFonts w:hint="eastAsia" w:ascii="仿宋" w:hAnsi="仿宋" w:eastAsia="仿宋" w:cs="仿宋"/>
          <w:color w:val="333333"/>
          <w:sz w:val="30"/>
          <w:szCs w:val="30"/>
          <w:lang w:val="en-US" w:eastAsia="zh-CN"/>
        </w:rPr>
        <w:t>㈤承办上级主管部门交办的其他工作。</w:t>
      </w:r>
    </w:p>
    <w:p w14:paraId="58BA78B7">
      <w:pPr>
        <w:pStyle w:val="10"/>
        <w:numPr>
          <w:ilvl w:val="0"/>
          <w:numId w:val="0"/>
        </w:numPr>
        <w:spacing w:before="0" w:beforeAutospacing="1" w:after="0" w:afterAutospacing="1"/>
        <w:ind w:leftChars="0" w:right="0" w:rightChars="0"/>
        <w:rPr>
          <w:rFonts w:hint="eastAsia" w:ascii="黑体" w:hAnsi="宋体" w:eastAsia="黑体" w:cs="黑体"/>
          <w:sz w:val="32"/>
          <w:szCs w:val="32"/>
          <w:lang w:val="en-US"/>
        </w:rPr>
      </w:pPr>
    </w:p>
    <w:p w14:paraId="69B7321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sz w:val="32"/>
          <w:szCs w:val="32"/>
          <w:highlight w:val="none"/>
        </w:rPr>
      </w:pPr>
    </w:p>
    <w:p w14:paraId="1E807CD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color w:val="000000"/>
          <w:sz w:val="32"/>
          <w:szCs w:val="32"/>
          <w:highlight w:val="none"/>
        </w:rPr>
      </w:pPr>
      <w:bookmarkStart w:id="14" w:name="_Toc17796_WPSOffice_Level2"/>
      <w:bookmarkStart w:id="15" w:name="_Toc24474_WPSOffice_Level2"/>
      <w:bookmarkStart w:id="16" w:name="_Toc4833_WPSOffice_Level2"/>
      <w:bookmarkStart w:id="17" w:name="_Toc24059_WPSOffice_Level2"/>
      <w:bookmarkStart w:id="18" w:name="_Toc6572_WPSOffice_Level2"/>
      <w:r>
        <w:rPr>
          <w:rFonts w:hint="eastAsia" w:ascii="黑体" w:hAnsi="黑体" w:eastAsia="黑体" w:cs="黑体"/>
          <w:color w:val="000000"/>
          <w:sz w:val="32"/>
          <w:szCs w:val="32"/>
          <w:highlight w:val="none"/>
        </w:rPr>
        <w:t>二、机构设置</w:t>
      </w:r>
      <w:bookmarkEnd w:id="14"/>
      <w:bookmarkEnd w:id="15"/>
      <w:bookmarkEnd w:id="16"/>
      <w:bookmarkEnd w:id="17"/>
      <w:bookmarkEnd w:id="18"/>
    </w:p>
    <w:p w14:paraId="02AC2A65">
      <w:pPr>
        <w:pStyle w:val="4"/>
        <w:shd w:val="clear" w:fill="FFFFFF"/>
        <w:rPr>
          <w:rFonts w:hint="default" w:ascii="serif" w:hAnsi="微软雅黑" w:eastAsia="serif" w:cs="serif"/>
          <w:sz w:val="32"/>
          <w:szCs w:val="32"/>
          <w:shd w:val="clear" w:fill="FFFFFF"/>
          <w:lang w:val="en-US"/>
        </w:rPr>
      </w:pPr>
      <w:bookmarkStart w:id="19" w:name="_Toc25738_WPSOffice_Level2"/>
      <w:bookmarkStart w:id="20" w:name="_Toc24421_WPSOffice_Level2"/>
      <w:bookmarkStart w:id="21" w:name="_Toc6234_WPSOffice_Level1"/>
      <w:bookmarkStart w:id="22" w:name="_Toc30690_WPSOffice_Level1"/>
      <w:bookmarkStart w:id="23" w:name="_Toc28253_WPSOffice_Level1"/>
      <w:bookmarkStart w:id="24" w:name="_Toc30451_WPSOffice_Level1"/>
      <w:bookmarkStart w:id="25" w:name="_Toc8164_WPSOffice_Level1"/>
      <w:bookmarkStart w:id="26" w:name="_Toc15521_WPSOffice_Level1"/>
      <w:bookmarkStart w:id="27" w:name="_Toc8867_WPSOffice_Level2"/>
      <w:bookmarkStart w:id="28" w:name="_Toc32695_WPSOffice_Level2"/>
      <w:bookmarkStart w:id="29" w:name="_Toc6211_WPSOffice_Level2"/>
      <w:bookmarkStart w:id="30" w:name="_Toc4029_WPSOffice_Level2"/>
      <w:bookmarkStart w:id="31" w:name="_Toc32472_WPSOffice_Level2"/>
      <w:bookmarkStart w:id="32" w:name="_Toc11518_WPSOffice_Level2"/>
      <w:r>
        <w:rPr>
          <w:rFonts w:ascii="serif" w:hAnsi="微软雅黑" w:eastAsia="serif" w:cs="serif"/>
          <w:color w:val="333333"/>
          <w:sz w:val="32"/>
          <w:szCs w:val="32"/>
          <w:shd w:val="clear" w:fill="FFFFFF"/>
          <w:lang w:val="en-US" w:eastAsia="zh-CN"/>
        </w:rPr>
        <w:t>海南</w:t>
      </w:r>
      <w:r>
        <w:rPr>
          <w:rFonts w:hint="eastAsia" w:ascii="serif" w:hAnsi="微软雅黑" w:eastAsia="serif" w:cs="serif"/>
          <w:color w:val="333333"/>
          <w:sz w:val="32"/>
          <w:szCs w:val="32"/>
          <w:shd w:val="clear" w:fill="FFFFFF"/>
          <w:lang w:val="en-US" w:eastAsia="zh-CN"/>
        </w:rPr>
        <w:t>南林</w:t>
      </w:r>
      <w:r>
        <w:rPr>
          <w:rFonts w:ascii="serif" w:hAnsi="微软雅黑" w:eastAsia="serif" w:cs="serif"/>
          <w:color w:val="333333"/>
          <w:sz w:val="32"/>
          <w:szCs w:val="32"/>
          <w:shd w:val="clear" w:fill="FFFFFF"/>
          <w:lang w:val="en-US" w:eastAsia="zh-CN"/>
        </w:rPr>
        <w:t>省级自然保护区管理站</w:t>
      </w:r>
      <w:r>
        <w:rPr>
          <w:rFonts w:hint="default" w:ascii="serif" w:hAnsi="微软雅黑" w:eastAsia="serif" w:cs="serif"/>
          <w:sz w:val="32"/>
          <w:szCs w:val="32"/>
          <w:shd w:val="clear" w:fill="FFFFFF"/>
          <w:lang w:val="en-US" w:eastAsia="zh-CN"/>
        </w:rPr>
        <w:t>纳入海南省林业局（部门）</w:t>
      </w:r>
      <w:r>
        <w:rPr>
          <w:rFonts w:hint="eastAsia" w:ascii="serif" w:hAnsi="微软雅黑" w:eastAsia="serif" w:cs="serif"/>
          <w:sz w:val="32"/>
          <w:szCs w:val="32"/>
          <w:shd w:val="clear" w:fill="FFFFFF"/>
          <w:lang w:val="en-US" w:eastAsia="zh-CN"/>
        </w:rPr>
        <w:t>2023</w:t>
      </w:r>
      <w:r>
        <w:rPr>
          <w:rFonts w:hint="default" w:ascii="serif" w:hAnsi="微软雅黑" w:eastAsia="serif" w:cs="serif"/>
          <w:sz w:val="32"/>
          <w:szCs w:val="32"/>
          <w:shd w:val="clear" w:fill="FFFFFF"/>
          <w:lang w:val="en-US" w:eastAsia="zh-CN"/>
        </w:rPr>
        <w:t>年部门决算编制范围的二级单位。</w:t>
      </w:r>
    </w:p>
    <w:bookmarkEnd w:id="19"/>
    <w:bookmarkEnd w:id="20"/>
    <w:p w14:paraId="78EA89A2">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14:paraId="33C5005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第二部分  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年度部门决算公开报表</w:t>
      </w:r>
      <w:bookmarkEnd w:id="21"/>
      <w:bookmarkEnd w:id="22"/>
      <w:bookmarkEnd w:id="23"/>
      <w:bookmarkEnd w:id="24"/>
      <w:bookmarkEnd w:id="25"/>
      <w:bookmarkEnd w:id="26"/>
    </w:p>
    <w:p w14:paraId="6D264D8D">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p>
    <w:p w14:paraId="43990877">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一、收入支出决算公开表</w:t>
      </w:r>
      <w:bookmarkEnd w:id="27"/>
      <w:bookmarkEnd w:id="28"/>
      <w:bookmarkEnd w:id="29"/>
      <w:bookmarkEnd w:id="30"/>
      <w:bookmarkEnd w:id="31"/>
      <w:bookmarkEnd w:id="32"/>
    </w:p>
    <w:p w14:paraId="7C6ED726">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33" w:name="_Toc28622_WPSOffice_Level2"/>
      <w:bookmarkStart w:id="34" w:name="_Toc14349_WPSOffice_Level2"/>
      <w:bookmarkStart w:id="35" w:name="_Toc26621_WPSOffice_Level2"/>
      <w:bookmarkStart w:id="36" w:name="_Toc25608_WPSOffice_Level2"/>
      <w:bookmarkStart w:id="37" w:name="_Toc23139_WPSOffice_Level2"/>
      <w:bookmarkStart w:id="38" w:name="_Toc30334_WPSOffice_Level2"/>
      <w:r>
        <w:rPr>
          <w:rFonts w:hint="eastAsia" w:ascii="黑体" w:hAnsi="黑体" w:eastAsia="黑体" w:cs="黑体"/>
          <w:color w:val="000000"/>
          <w:sz w:val="32"/>
          <w:szCs w:val="32"/>
          <w:highlight w:val="none"/>
        </w:rPr>
        <w:t>二、收入决算公开表</w:t>
      </w:r>
      <w:bookmarkEnd w:id="33"/>
      <w:bookmarkEnd w:id="34"/>
      <w:bookmarkEnd w:id="35"/>
      <w:bookmarkEnd w:id="36"/>
      <w:bookmarkEnd w:id="37"/>
      <w:bookmarkEnd w:id="38"/>
      <w:bookmarkStart w:id="39" w:name="_Toc17626_WPSOffice_Level2"/>
      <w:bookmarkStart w:id="40" w:name="_Toc14658_WPSOffice_Level2"/>
      <w:bookmarkStart w:id="41" w:name="_Toc13854_WPSOffice_Level2"/>
      <w:bookmarkStart w:id="42" w:name="_Toc3262_WPSOffice_Level2"/>
      <w:bookmarkStart w:id="43" w:name="_Toc17858_WPSOffice_Level2"/>
      <w:bookmarkStart w:id="44" w:name="_Toc5489_WPSOffice_Level2"/>
    </w:p>
    <w:p w14:paraId="3642715B">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三、支出决算公开表</w:t>
      </w:r>
      <w:bookmarkEnd w:id="39"/>
      <w:bookmarkEnd w:id="40"/>
      <w:bookmarkEnd w:id="41"/>
      <w:bookmarkEnd w:id="42"/>
      <w:bookmarkEnd w:id="43"/>
      <w:bookmarkEnd w:id="44"/>
      <w:bookmarkStart w:id="45" w:name="_Toc21415_WPSOffice_Level2"/>
      <w:bookmarkStart w:id="46" w:name="_Toc7988_WPSOffice_Level2"/>
      <w:bookmarkStart w:id="47" w:name="_Toc23591_WPSOffice_Level2"/>
      <w:bookmarkStart w:id="48" w:name="_Toc23493_WPSOffice_Level2"/>
      <w:bookmarkStart w:id="49" w:name="_Toc13701_WPSOffice_Level2"/>
      <w:bookmarkStart w:id="50" w:name="_Toc4265_WPSOffice_Level2"/>
    </w:p>
    <w:p w14:paraId="46B04B8E">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四、财政拨款收入支出决算公开表</w:t>
      </w:r>
      <w:bookmarkEnd w:id="45"/>
      <w:bookmarkEnd w:id="46"/>
      <w:bookmarkEnd w:id="47"/>
      <w:bookmarkEnd w:id="48"/>
      <w:bookmarkEnd w:id="49"/>
      <w:bookmarkEnd w:id="50"/>
    </w:p>
    <w:p w14:paraId="006F6F54">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bookmarkStart w:id="51" w:name="_Toc7879_WPSOffice_Level2"/>
      <w:bookmarkStart w:id="52" w:name="_Toc22783_WPSOffice_Level2"/>
      <w:bookmarkStart w:id="53" w:name="_Toc23829_WPSOffice_Level2"/>
      <w:bookmarkStart w:id="54" w:name="_Toc25166_WPSOffice_Level2"/>
      <w:bookmarkStart w:id="55" w:name="_Toc2158_WPSOffice_Level2"/>
      <w:bookmarkStart w:id="56" w:name="_Toc13516_WPSOffice_Level2"/>
      <w:r>
        <w:rPr>
          <w:rFonts w:hint="eastAsia" w:ascii="黑体" w:hAnsi="黑体" w:eastAsia="黑体" w:cs="黑体"/>
          <w:color w:val="000000"/>
          <w:sz w:val="32"/>
          <w:szCs w:val="32"/>
          <w:highlight w:val="none"/>
        </w:rPr>
        <w:t>五、一般公共预算财政拨款收入支出决算</w:t>
      </w:r>
      <w:bookmarkEnd w:id="51"/>
      <w:bookmarkEnd w:id="52"/>
      <w:bookmarkEnd w:id="53"/>
      <w:bookmarkEnd w:id="54"/>
      <w:r>
        <w:rPr>
          <w:rFonts w:hint="eastAsia" w:ascii="黑体" w:hAnsi="黑体" w:eastAsia="黑体" w:cs="黑体"/>
          <w:color w:val="000000"/>
          <w:sz w:val="32"/>
          <w:szCs w:val="32"/>
          <w:highlight w:val="none"/>
        </w:rPr>
        <w:t>公开表</w:t>
      </w:r>
      <w:bookmarkEnd w:id="55"/>
      <w:bookmarkEnd w:id="56"/>
      <w:bookmarkStart w:id="57" w:name="_Toc17283_WPSOffice_Level2"/>
      <w:bookmarkStart w:id="58" w:name="_Toc17833_WPSOffice_Level2"/>
      <w:bookmarkStart w:id="59" w:name="_Toc5343_WPSOffice_Level2"/>
      <w:bookmarkStart w:id="60" w:name="_Toc8373_WPSOffice_Level2"/>
      <w:bookmarkStart w:id="61" w:name="_Toc2632_WPSOffice_Level2"/>
      <w:bookmarkStart w:id="62" w:name="_Toc25362_WPSOffice_Level2"/>
    </w:p>
    <w:p w14:paraId="626ADDF9">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六、一般公共预算财政拨款基本支出决算</w:t>
      </w:r>
      <w:bookmarkEnd w:id="57"/>
      <w:bookmarkEnd w:id="58"/>
      <w:bookmarkEnd w:id="59"/>
      <w:bookmarkEnd w:id="60"/>
      <w:bookmarkEnd w:id="61"/>
      <w:bookmarkEnd w:id="62"/>
      <w:r>
        <w:rPr>
          <w:rFonts w:hint="eastAsia" w:ascii="黑体" w:hAnsi="黑体" w:eastAsia="黑体" w:cs="黑体"/>
          <w:color w:val="000000"/>
          <w:sz w:val="32"/>
          <w:szCs w:val="32"/>
          <w:highlight w:val="none"/>
        </w:rPr>
        <w:t>公开表</w:t>
      </w:r>
    </w:p>
    <w:p w14:paraId="006C4251">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bookmarkStart w:id="63" w:name="_Toc6020_WPSOffice_Level2"/>
      <w:bookmarkStart w:id="64" w:name="_Toc13345_WPSOffice_Level2"/>
      <w:bookmarkStart w:id="65" w:name="_Toc1533_WPSOffice_Level2"/>
      <w:bookmarkStart w:id="66" w:name="_Toc5594_WPSOffice_Level2"/>
      <w:bookmarkStart w:id="67" w:name="_Toc21310_WPSOffice_Level2"/>
      <w:bookmarkStart w:id="68" w:name="_Toc11799_WPSOffice_Level2"/>
      <w:r>
        <w:rPr>
          <w:rFonts w:hint="eastAsia" w:ascii="黑体" w:hAnsi="黑体" w:eastAsia="黑体" w:cs="黑体"/>
          <w:color w:val="000000"/>
          <w:sz w:val="32"/>
          <w:szCs w:val="32"/>
          <w:highlight w:val="none"/>
        </w:rPr>
        <w:t>七、政府性基金预算财政拨款收入支出决算</w:t>
      </w:r>
      <w:bookmarkEnd w:id="63"/>
      <w:bookmarkEnd w:id="64"/>
      <w:bookmarkEnd w:id="65"/>
      <w:bookmarkEnd w:id="66"/>
      <w:bookmarkEnd w:id="67"/>
      <w:bookmarkEnd w:id="68"/>
      <w:r>
        <w:rPr>
          <w:rFonts w:hint="eastAsia" w:ascii="黑体" w:hAnsi="黑体" w:eastAsia="黑体" w:cs="黑体"/>
          <w:color w:val="000000"/>
          <w:sz w:val="32"/>
          <w:szCs w:val="32"/>
          <w:highlight w:val="none"/>
        </w:rPr>
        <w:t>公开表</w:t>
      </w:r>
    </w:p>
    <w:p w14:paraId="37C6DB84">
      <w:pPr>
        <w:keepNext w:val="0"/>
        <w:keepLines w:val="0"/>
        <w:pageBreakBefore w:val="0"/>
        <w:kinsoku/>
        <w:wordWrap/>
        <w:overflowPunct/>
        <w:topLinePunct w:val="0"/>
        <w:autoSpaceDE/>
        <w:autoSpaceDN/>
        <w:bidi w:val="0"/>
        <w:adjustRightInd/>
        <w:snapToGrid/>
        <w:spacing w:line="560" w:lineRule="exact"/>
        <w:ind w:left="1118" w:leftChars="304" w:hanging="480" w:hangingChars="150"/>
        <w:textAlignment w:val="auto"/>
        <w:rPr>
          <w:rFonts w:hint="eastAsia" w:ascii="黑体" w:hAnsi="黑体" w:eastAsia="黑体" w:cs="黑体"/>
          <w:color w:val="000000"/>
          <w:sz w:val="32"/>
          <w:szCs w:val="32"/>
          <w:highlight w:val="none"/>
        </w:rPr>
      </w:pPr>
      <w:r>
        <w:rPr>
          <w:rFonts w:hint="eastAsia" w:ascii="黑体" w:hAnsi="黑体" w:eastAsia="黑体" w:cs="黑体"/>
          <w:color w:val="000000"/>
          <w:sz w:val="32"/>
          <w:szCs w:val="32"/>
          <w:highlight w:val="none"/>
        </w:rPr>
        <w:t>八、国有资本经营预算财政拨款收入支出决算公开表</w:t>
      </w:r>
    </w:p>
    <w:p w14:paraId="2A07DB82">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bookmarkStart w:id="69" w:name="_Toc1820_WPSOffice_Level2"/>
      <w:bookmarkStart w:id="70" w:name="_Toc19961_WPSOffice_Level2"/>
      <w:bookmarkStart w:id="71" w:name="_Toc9377_WPSOffice_Level2"/>
      <w:bookmarkStart w:id="72" w:name="_Toc29886_WPSOffice_Level2"/>
      <w:r>
        <w:rPr>
          <w:rFonts w:hint="eastAsia" w:ascii="黑体" w:hAnsi="黑体" w:eastAsia="黑体" w:cs="黑体"/>
          <w:color w:val="000000"/>
          <w:sz w:val="32"/>
          <w:szCs w:val="32"/>
          <w:highlight w:val="none"/>
        </w:rPr>
        <w:t>九、财政拨款“三公”经费支出决算</w:t>
      </w:r>
      <w:bookmarkEnd w:id="69"/>
      <w:bookmarkEnd w:id="70"/>
      <w:bookmarkEnd w:id="71"/>
      <w:bookmarkEnd w:id="72"/>
      <w:r>
        <w:rPr>
          <w:rFonts w:hint="eastAsia" w:ascii="黑体" w:hAnsi="黑体" w:eastAsia="黑体" w:cs="黑体"/>
          <w:color w:val="000000"/>
          <w:sz w:val="32"/>
          <w:szCs w:val="32"/>
          <w:highlight w:val="none"/>
        </w:rPr>
        <w:t>公开表</w:t>
      </w:r>
    </w:p>
    <w:p w14:paraId="2804A61F">
      <w:pPr>
        <w:keepNext w:val="0"/>
        <w:keepLines w:val="0"/>
        <w:pageBreakBefore w:val="0"/>
        <w:kinsoku/>
        <w:wordWrap/>
        <w:overflowPunct/>
        <w:topLinePunct w:val="0"/>
        <w:autoSpaceDE/>
        <w:autoSpaceDN/>
        <w:bidi w:val="0"/>
        <w:adjustRightInd/>
        <w:snapToGrid/>
        <w:spacing w:line="560" w:lineRule="exact"/>
        <w:ind w:firstLine="640"/>
        <w:textAlignment w:val="auto"/>
        <w:rPr>
          <w:rFonts w:hint="eastAsia" w:ascii="黑体" w:hAnsi="黑体" w:eastAsia="黑体" w:cs="黑体"/>
          <w:color w:val="000000"/>
          <w:sz w:val="32"/>
          <w:szCs w:val="32"/>
          <w:highlight w:val="none"/>
        </w:rPr>
      </w:pPr>
      <w:r>
        <w:rPr>
          <w:rFonts w:hint="eastAsia" w:ascii="黑体" w:hAnsi="黑体" w:eastAsia="黑体" w:cs="黑体"/>
          <w:color w:val="000000"/>
          <w:w w:val="96"/>
          <w:sz w:val="32"/>
          <w:szCs w:val="32"/>
          <w:highlight w:val="none"/>
        </w:rPr>
        <w:t>以上报表见附件</w:t>
      </w:r>
      <w:r>
        <w:rPr>
          <w:rFonts w:hint="eastAsia" w:ascii="黑体" w:hAnsi="黑体" w:eastAsia="黑体" w:cs="黑体"/>
          <w:color w:val="000000"/>
          <w:w w:val="96"/>
          <w:sz w:val="32"/>
          <w:szCs w:val="32"/>
          <w:highlight w:val="none"/>
          <w:lang w:val="en-US" w:eastAsia="zh-CN"/>
        </w:rPr>
        <w:t>1</w:t>
      </w:r>
      <w:r>
        <w:rPr>
          <w:rFonts w:hint="eastAsia" w:ascii="黑体" w:hAnsi="黑体" w:eastAsia="黑体" w:cs="黑体"/>
          <w:color w:val="000000"/>
          <w:w w:val="96"/>
          <w:sz w:val="32"/>
          <w:szCs w:val="32"/>
          <w:highlight w:val="none"/>
        </w:rPr>
        <w:t xml:space="preserve">。   </w:t>
      </w:r>
    </w:p>
    <w:p w14:paraId="13855537">
      <w:pPr>
        <w:keepNext w:val="0"/>
        <w:keepLines w:val="0"/>
        <w:pageBreakBefore w:val="0"/>
        <w:kinsoku/>
        <w:wordWrap/>
        <w:overflowPunct/>
        <w:topLinePunct w:val="0"/>
        <w:autoSpaceDE/>
        <w:autoSpaceDN/>
        <w:bidi w:val="0"/>
        <w:adjustRightInd/>
        <w:snapToGrid/>
        <w:spacing w:line="560" w:lineRule="exact"/>
        <w:textAlignment w:val="auto"/>
        <w:rPr>
          <w:rFonts w:hint="eastAsia" w:ascii="黑体" w:hAnsi="黑体" w:eastAsia="黑体" w:cs="黑体"/>
          <w:color w:val="000000"/>
          <w:sz w:val="32"/>
          <w:szCs w:val="32"/>
          <w:highlight w:val="none"/>
        </w:rPr>
      </w:pPr>
    </w:p>
    <w:p w14:paraId="7C9C7455">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bookmarkStart w:id="73" w:name="_Toc16686_WPSOffice_Level1"/>
      <w:bookmarkStart w:id="74" w:name="_Toc27590_WPSOffice_Level1"/>
      <w:bookmarkStart w:id="75" w:name="_Toc29683_WPSOffice_Level1"/>
      <w:bookmarkStart w:id="76" w:name="_Toc31264_WPSOffice_Level1"/>
      <w:bookmarkStart w:id="77" w:name="_Toc28629_WPSOffice_Level1"/>
      <w:bookmarkStart w:id="78" w:name="_Toc4402_WPSOffice_Level1"/>
      <w:r>
        <w:rPr>
          <w:rFonts w:hint="eastAsia" w:ascii="黑体" w:hAnsi="ˎ̥" w:eastAsia="黑体"/>
          <w:color w:val="000000"/>
          <w:sz w:val="32"/>
          <w:szCs w:val="32"/>
          <w:highlight w:val="none"/>
        </w:rPr>
        <w:t>第三部分  202</w:t>
      </w:r>
      <w:r>
        <w:rPr>
          <w:rFonts w:hint="eastAsia" w:ascii="黑体" w:hAnsi="ˎ̥" w:eastAsia="黑体"/>
          <w:color w:val="000000"/>
          <w:sz w:val="32"/>
          <w:szCs w:val="32"/>
          <w:highlight w:val="none"/>
          <w:lang w:val="en-US" w:eastAsia="zh-CN"/>
        </w:rPr>
        <w:t>3</w:t>
      </w:r>
      <w:r>
        <w:rPr>
          <w:rFonts w:hint="eastAsia" w:ascii="黑体" w:hAnsi="ˎ̥" w:eastAsia="黑体"/>
          <w:color w:val="000000"/>
          <w:sz w:val="32"/>
          <w:szCs w:val="32"/>
          <w:highlight w:val="none"/>
        </w:rPr>
        <w:t>年度部门决算情况说明</w:t>
      </w:r>
      <w:bookmarkEnd w:id="73"/>
      <w:bookmarkEnd w:id="74"/>
      <w:bookmarkEnd w:id="75"/>
      <w:bookmarkEnd w:id="76"/>
      <w:bookmarkEnd w:id="77"/>
      <w:bookmarkEnd w:id="78"/>
    </w:p>
    <w:p w14:paraId="3CF52AFF">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14:paraId="5A909E8E">
      <w:pPr>
        <w:ind w:firstLine="709"/>
        <w:rPr>
          <w:rFonts w:hint="eastAsia" w:ascii="仿宋_GB2312" w:hAnsi="ˎ̥" w:eastAsia="仿宋_GB2312"/>
          <w:color w:val="000000"/>
          <w:sz w:val="32"/>
          <w:szCs w:val="32"/>
          <w:highlight w:val="none"/>
        </w:rPr>
      </w:pPr>
      <w:r>
        <w:rPr>
          <w:rFonts w:hint="eastAsia" w:ascii="黑体" w:hAnsi="黑体" w:eastAsia="黑体" w:cs="黑体"/>
          <w:bCs/>
          <w:color w:val="000000"/>
          <w:sz w:val="32"/>
          <w:szCs w:val="32"/>
          <w:highlight w:val="none"/>
        </w:rPr>
        <w:t>一、收入支出总体情况说明</w:t>
      </w:r>
      <w:r>
        <w:rPr>
          <w:rFonts w:hint="eastAsia" w:ascii="黑体" w:hAnsi="黑体" w:eastAsia="黑体" w:cs="黑体"/>
          <w:bCs/>
          <w:color w:val="000000"/>
          <w:sz w:val="32"/>
          <w:szCs w:val="32"/>
          <w:highlight w:val="none"/>
        </w:rPr>
        <w:br w:type="textWrapping"/>
      </w:r>
      <w:r>
        <w:rPr>
          <w:rFonts w:hint="eastAsia" w:ascii="楷体_GB2312" w:hAnsi="ˎ̥" w:eastAsia="楷体_GB2312"/>
          <w:color w:val="000000"/>
          <w:sz w:val="32"/>
          <w:szCs w:val="32"/>
          <w:highlight w:val="none"/>
        </w:rPr>
        <w:t xml:space="preserve">   </w:t>
      </w:r>
      <w:r>
        <w:rPr>
          <w:rFonts w:hint="eastAsia" w:ascii="仿宋" w:hAnsi="仿宋" w:eastAsia="仿宋"/>
          <w:sz w:val="30"/>
          <w:szCs w:val="30"/>
        </w:rPr>
        <w:t>2023年度部门收入总额512.23万元，费用总额548.08万元，收入费用相抵后本年盈余-3</w:t>
      </w:r>
      <w:r>
        <w:rPr>
          <w:rFonts w:hint="eastAsia" w:ascii="仿宋" w:hAnsi="仿宋" w:eastAsia="仿宋"/>
          <w:sz w:val="30"/>
          <w:szCs w:val="30"/>
          <w:lang w:val="en-US" w:eastAsia="zh-CN"/>
        </w:rPr>
        <w:t>5.85</w:t>
      </w:r>
      <w:r>
        <w:rPr>
          <w:rFonts w:hint="eastAsia" w:ascii="仿宋" w:hAnsi="仿宋" w:eastAsia="仿宋"/>
          <w:sz w:val="30"/>
          <w:szCs w:val="30"/>
        </w:rPr>
        <w:t>万元。收入费用率为10</w:t>
      </w:r>
      <w:r>
        <w:rPr>
          <w:rFonts w:hint="eastAsia" w:ascii="仿宋" w:hAnsi="仿宋" w:eastAsia="仿宋"/>
          <w:sz w:val="30"/>
          <w:szCs w:val="30"/>
          <w:lang w:val="en-US" w:eastAsia="zh-CN"/>
        </w:rPr>
        <w:t>5</w:t>
      </w:r>
      <w:r>
        <w:rPr>
          <w:rFonts w:hint="eastAsia" w:ascii="仿宋" w:hAnsi="仿宋" w:eastAsia="仿宋"/>
          <w:sz w:val="30"/>
          <w:szCs w:val="30"/>
        </w:rPr>
        <w:t>.23%，较上年增长2</w:t>
      </w:r>
      <w:r>
        <w:rPr>
          <w:rFonts w:hint="eastAsia" w:ascii="仿宋" w:hAnsi="仿宋" w:eastAsia="仿宋"/>
          <w:sz w:val="30"/>
          <w:szCs w:val="30"/>
          <w:lang w:val="en-US" w:eastAsia="zh-CN"/>
        </w:rPr>
        <w:t>0</w:t>
      </w:r>
      <w:r>
        <w:rPr>
          <w:rFonts w:hint="eastAsia" w:ascii="仿宋" w:hAnsi="仿宋" w:eastAsia="仿宋"/>
          <w:sz w:val="30"/>
          <w:szCs w:val="30"/>
        </w:rPr>
        <w:t>.27个百分点，</w:t>
      </w:r>
      <w:r>
        <w:rPr>
          <w:rFonts w:hint="eastAsia" w:ascii="仿宋" w:hAnsi="仿宋" w:eastAsia="仿宋" w:cs="仿宋"/>
          <w:sz w:val="30"/>
          <w:szCs w:val="30"/>
        </w:rPr>
        <w:t>主要原因是我单位2023年人员经费增加</w:t>
      </w:r>
      <w:r>
        <w:rPr>
          <w:rFonts w:hint="eastAsia" w:ascii="仿宋" w:hAnsi="仿宋" w:eastAsia="仿宋"/>
          <w:sz w:val="30"/>
          <w:szCs w:val="30"/>
        </w:rPr>
        <w:t xml:space="preserve">。                 </w:t>
      </w:r>
    </w:p>
    <w:p w14:paraId="57D46250">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 xml:space="preserve">   （注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年度相关决算数据可取自附件财决公开01表；202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年度相关决算数据可取自202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年度部门决算报表财决01表《收入支出决算总表》）</w:t>
      </w:r>
    </w:p>
    <w:p w14:paraId="30EFBC6D">
      <w:pPr>
        <w:numPr>
          <w:ilvl w:val="0"/>
          <w:numId w:val="0"/>
        </w:numPr>
        <w:ind w:firstLine="640" w:firstLineChars="200"/>
        <w:rPr>
          <w:rFonts w:hint="eastAsia" w:ascii="仿宋" w:hAnsi="仿宋" w:eastAsia="仿宋"/>
          <w:sz w:val="30"/>
          <w:szCs w:val="30"/>
        </w:rPr>
      </w:pPr>
      <w:r>
        <w:rPr>
          <w:rFonts w:hint="eastAsia" w:ascii="黑体" w:hAnsi="黑体" w:eastAsia="黑体" w:cs="黑体"/>
          <w:bCs/>
          <w:color w:val="000000"/>
          <w:sz w:val="32"/>
          <w:szCs w:val="32"/>
          <w:highlight w:val="none"/>
        </w:rPr>
        <w:t>二、收入决算情况说明</w:t>
      </w:r>
      <w:r>
        <w:rPr>
          <w:rFonts w:hint="eastAsia" w:ascii="黑体" w:hAnsi="黑体" w:eastAsia="黑体" w:cs="黑体"/>
          <w:bCs/>
          <w:color w:val="000000"/>
          <w:sz w:val="32"/>
          <w:szCs w:val="32"/>
          <w:highlight w:val="none"/>
        </w:rPr>
        <w:br w:type="textWrapping"/>
      </w:r>
      <w:r>
        <w:rPr>
          <w:rFonts w:hint="eastAsia" w:ascii="仿宋_GB2312" w:hAnsi="ˎ̥" w:eastAsia="仿宋_GB2312"/>
          <w:color w:val="000000"/>
          <w:sz w:val="32"/>
          <w:szCs w:val="32"/>
          <w:highlight w:val="none"/>
        </w:rPr>
        <w:t xml:space="preserve">    </w:t>
      </w:r>
      <w:r>
        <w:rPr>
          <w:rFonts w:hint="eastAsia" w:ascii="仿宋" w:hAnsi="仿宋" w:eastAsia="仿宋"/>
          <w:sz w:val="30"/>
          <w:szCs w:val="30"/>
        </w:rPr>
        <w:t>2023年度本单位总收入512.23万元，其中财政拨款收入499.12万元，占比97.44%；</w:t>
      </w:r>
      <w:bookmarkStart w:id="79" w:name="_Hlk134281426"/>
      <w:r>
        <w:rPr>
          <w:rFonts w:hint="eastAsia" w:ascii="仿宋" w:hAnsi="仿宋" w:eastAsia="仿宋"/>
          <w:sz w:val="30"/>
          <w:szCs w:val="30"/>
        </w:rPr>
        <w:t>非同级财政拨款收入13.11元，占比2.56%。</w:t>
      </w:r>
      <w:bookmarkEnd w:id="79"/>
      <w:r>
        <w:rPr>
          <w:rFonts w:hint="eastAsia" w:ascii="仿宋" w:hAnsi="仿宋" w:eastAsia="仿宋"/>
          <w:sz w:val="30"/>
          <w:szCs w:val="30"/>
        </w:rPr>
        <w:t>从收入构成情况来看，主要是市自规局增加经费投入。</w:t>
      </w:r>
    </w:p>
    <w:p w14:paraId="3EA2C94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p>
    <w:p w14:paraId="6B640DCB">
      <w:pPr>
        <w:keepNext w:val="0"/>
        <w:keepLines w:val="0"/>
        <w:pageBreakBefore w:val="0"/>
        <w:kinsoku/>
        <w:wordWrap/>
        <w:overflowPunct/>
        <w:topLinePunct w:val="0"/>
        <w:autoSpaceDE/>
        <w:autoSpaceDN/>
        <w:bidi w:val="0"/>
        <w:adjustRightInd/>
        <w:snapToGrid/>
        <w:spacing w:line="560" w:lineRule="exact"/>
        <w:ind w:left="412" w:leftChars="196"/>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 xml:space="preserve">  （注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上述各项收入数字可取自财决公开02表）</w:t>
      </w:r>
    </w:p>
    <w:p w14:paraId="53D25831">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三、支出决算情况说明</w:t>
      </w:r>
    </w:p>
    <w:p w14:paraId="03E14A66">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本年支出合计</w:t>
      </w:r>
      <w:r>
        <w:rPr>
          <w:rFonts w:hint="eastAsia" w:ascii="仿宋_GB2312" w:hAnsi="ˎ̥" w:eastAsia="仿宋_GB2312"/>
          <w:color w:val="000000"/>
          <w:sz w:val="32"/>
          <w:szCs w:val="32"/>
          <w:highlight w:val="none"/>
          <w:lang w:val="en-US" w:eastAsia="zh-CN"/>
        </w:rPr>
        <w:t>548.08</w:t>
      </w:r>
      <w:r>
        <w:rPr>
          <w:rFonts w:hint="eastAsia" w:ascii="仿宋_GB2312" w:hAnsi="ˎ̥" w:eastAsia="仿宋_GB2312"/>
          <w:color w:val="000000"/>
          <w:sz w:val="32"/>
          <w:szCs w:val="32"/>
          <w:highlight w:val="none"/>
        </w:rPr>
        <w:t>万元，其中：基本支出</w:t>
      </w:r>
      <w:r>
        <w:rPr>
          <w:rFonts w:hint="eastAsia" w:ascii="仿宋_GB2312" w:hAnsi="ˎ̥" w:eastAsia="仿宋_GB2312"/>
          <w:color w:val="000000"/>
          <w:sz w:val="32"/>
          <w:szCs w:val="32"/>
          <w:highlight w:val="none"/>
          <w:lang w:val="en-US" w:eastAsia="zh-CN"/>
        </w:rPr>
        <w:t>251.21</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45.83</w:t>
      </w:r>
      <w:r>
        <w:rPr>
          <w:rFonts w:hint="eastAsia" w:ascii="仿宋_GB2312" w:hAnsi="ˎ̥" w:eastAsia="仿宋_GB2312"/>
          <w:color w:val="000000"/>
          <w:sz w:val="32"/>
          <w:szCs w:val="32"/>
          <w:highlight w:val="none"/>
        </w:rPr>
        <w:t>%；项目支出</w:t>
      </w:r>
      <w:r>
        <w:rPr>
          <w:rFonts w:hint="eastAsia" w:ascii="仿宋_GB2312" w:hAnsi="ˎ̥" w:eastAsia="仿宋_GB2312"/>
          <w:color w:val="000000"/>
          <w:sz w:val="32"/>
          <w:szCs w:val="32"/>
          <w:highlight w:val="none"/>
          <w:lang w:val="en-US" w:eastAsia="zh-CN"/>
        </w:rPr>
        <w:t>296.87</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54.17</w:t>
      </w:r>
      <w:r>
        <w:rPr>
          <w:rFonts w:hint="eastAsia" w:ascii="仿宋_GB2312" w:hAnsi="ˎ̥" w:eastAsia="仿宋_GB2312"/>
          <w:color w:val="000000"/>
          <w:sz w:val="32"/>
          <w:szCs w:val="32"/>
          <w:highlight w:val="none"/>
        </w:rPr>
        <w:t>%；上缴上级支出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%；经营支出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%；对附属单位补助支出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11A7713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上述各项支出数字可取自财决公开03表）</w:t>
      </w:r>
    </w:p>
    <w:p w14:paraId="2B7F1CBE">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四、财政拨款收入支出决算总体情况说明</w:t>
      </w:r>
    </w:p>
    <w:p w14:paraId="2656D09F">
      <w:pPr>
        <w:ind w:firstLine="709"/>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年度财政拨款收入</w:t>
      </w:r>
      <w:r>
        <w:rPr>
          <w:rFonts w:hint="eastAsia" w:ascii="仿宋" w:hAnsi="仿宋" w:eastAsia="仿宋"/>
          <w:sz w:val="30"/>
          <w:szCs w:val="30"/>
        </w:rPr>
        <w:t>512.23</w:t>
      </w:r>
      <w:r>
        <w:rPr>
          <w:rFonts w:hint="eastAsia" w:ascii="仿宋_GB2312" w:hAnsi="ˎ̥" w:eastAsia="仿宋_GB2312"/>
          <w:color w:val="000000"/>
          <w:sz w:val="32"/>
          <w:szCs w:val="32"/>
          <w:highlight w:val="none"/>
        </w:rPr>
        <w:t>万元，支出</w:t>
      </w:r>
      <w:r>
        <w:rPr>
          <w:rFonts w:hint="eastAsia" w:ascii="仿宋_GB2312" w:hAnsi="ˎ̥" w:eastAsia="仿宋_GB2312"/>
          <w:color w:val="000000"/>
          <w:sz w:val="32"/>
          <w:szCs w:val="32"/>
          <w:highlight w:val="none"/>
          <w:lang w:val="en-US" w:eastAsia="zh-CN"/>
        </w:rPr>
        <w:t>548.08</w:t>
      </w:r>
      <w:r>
        <w:rPr>
          <w:rFonts w:hint="eastAsia" w:ascii="仿宋_GB2312" w:hAnsi="ˎ̥" w:eastAsia="仿宋_GB2312"/>
          <w:color w:val="000000"/>
          <w:sz w:val="32"/>
          <w:szCs w:val="32"/>
          <w:highlight w:val="none"/>
        </w:rPr>
        <w:t>万元。与202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年度相比，财政拨款收入、支出各增加</w:t>
      </w:r>
      <w:r>
        <w:rPr>
          <w:rFonts w:hint="eastAsia" w:ascii="仿宋_GB2312" w:hAnsi="ˎ̥" w:eastAsia="仿宋_GB2312"/>
          <w:color w:val="000000"/>
          <w:sz w:val="32"/>
          <w:szCs w:val="32"/>
          <w:highlight w:val="none"/>
          <w:lang w:val="en-US" w:eastAsia="zh-CN"/>
        </w:rPr>
        <w:t>69.17</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16.19</w:t>
      </w:r>
      <w:r>
        <w:rPr>
          <w:rFonts w:hint="eastAsia" w:ascii="仿宋_GB2312" w:hAnsi="ˎ̥" w:eastAsia="仿宋_GB2312"/>
          <w:color w:val="000000"/>
          <w:sz w:val="32"/>
          <w:szCs w:val="32"/>
          <w:highlight w:val="none"/>
        </w:rPr>
        <w:t>%。主要原因：</w:t>
      </w:r>
      <w:r>
        <w:rPr>
          <w:rFonts w:hint="eastAsia" w:ascii="仿宋" w:hAnsi="仿宋" w:eastAsia="仿宋"/>
          <w:sz w:val="30"/>
          <w:szCs w:val="30"/>
        </w:rPr>
        <w:t>主要是市自规局增加经费投入</w:t>
      </w:r>
      <w:r>
        <w:rPr>
          <w:rFonts w:hint="eastAsia" w:ascii="仿宋_GB2312" w:hAnsi="仿宋" w:eastAsia="仿宋_GB2312" w:cs="仿宋"/>
          <w:color w:val="000000"/>
          <w:sz w:val="32"/>
          <w:szCs w:val="32"/>
          <w:lang w:val="en-US" w:eastAsia="zh-CN" w:bidi="ar"/>
        </w:rPr>
        <w:t>。</w:t>
      </w:r>
    </w:p>
    <w:p w14:paraId="3B3EDBE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p>
    <w:p w14:paraId="0C87FBE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年度决算相关数据可取自财决公开04表。202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年度决算相关数据可取自202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年度部门决算报表财决01-1表《财政拨款收入支出决算总表》）</w:t>
      </w:r>
    </w:p>
    <w:p w14:paraId="200A2A78">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五、一般公共预算财政拨款支出决算情况说明</w:t>
      </w:r>
    </w:p>
    <w:p w14:paraId="46D0970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80" w:name="_Toc13694_WPSOffice_Level2"/>
      <w:bookmarkStart w:id="81" w:name="_Toc17398_WPSOffice_Level2"/>
      <w:bookmarkStart w:id="82" w:name="_Toc19665_WPSOffice_Level2"/>
      <w:bookmarkStart w:id="83" w:name="_Toc21737_WPSOffice_Level2"/>
      <w:bookmarkStart w:id="84" w:name="_Toc23005_WPSOffice_Level2"/>
      <w:bookmarkStart w:id="85" w:name="_Toc9989_WPSOffice_Level2"/>
      <w:r>
        <w:rPr>
          <w:rFonts w:hint="eastAsia" w:ascii="楷体" w:hAnsi="楷体" w:eastAsia="楷体" w:cs="楷体"/>
          <w:color w:val="000000"/>
          <w:sz w:val="32"/>
          <w:szCs w:val="32"/>
          <w:highlight w:val="none"/>
        </w:rPr>
        <w:t>（一）一般公共预算财政拨款支出决算总体情况</w:t>
      </w:r>
      <w:bookmarkEnd w:id="80"/>
      <w:bookmarkEnd w:id="81"/>
      <w:r>
        <w:rPr>
          <w:rFonts w:hint="eastAsia" w:ascii="楷体" w:hAnsi="楷体" w:eastAsia="楷体" w:cs="楷体"/>
          <w:color w:val="000000"/>
          <w:sz w:val="32"/>
          <w:szCs w:val="32"/>
          <w:highlight w:val="none"/>
        </w:rPr>
        <w:t>。</w:t>
      </w:r>
      <w:bookmarkEnd w:id="82"/>
      <w:bookmarkEnd w:id="83"/>
      <w:bookmarkEnd w:id="84"/>
      <w:bookmarkEnd w:id="85"/>
    </w:p>
    <w:p w14:paraId="05741EA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年度一般公共预算财政拨款支出</w:t>
      </w:r>
      <w:r>
        <w:rPr>
          <w:rFonts w:hint="eastAsia" w:ascii="仿宋_GB2312" w:hAnsi="ˎ̥" w:eastAsia="仿宋_GB2312"/>
          <w:color w:val="000000"/>
          <w:sz w:val="32"/>
          <w:szCs w:val="32"/>
          <w:highlight w:val="none"/>
          <w:lang w:val="en-US" w:eastAsia="zh-CN"/>
        </w:rPr>
        <w:t>548.08</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100</w:t>
      </w:r>
      <w:r>
        <w:rPr>
          <w:rFonts w:hint="eastAsia" w:ascii="仿宋_GB2312" w:hAnsi="ˎ̥" w:eastAsia="仿宋_GB2312"/>
          <w:color w:val="000000"/>
          <w:sz w:val="32"/>
          <w:szCs w:val="32"/>
          <w:highlight w:val="none"/>
        </w:rPr>
        <w:t>%。与202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年度相比，一般公共预算财政拨款支出增加</w:t>
      </w:r>
      <w:r>
        <w:rPr>
          <w:rFonts w:hint="eastAsia" w:ascii="仿宋_GB2312" w:hAnsi="ˎ̥" w:eastAsia="仿宋_GB2312"/>
          <w:color w:val="000000"/>
          <w:sz w:val="32"/>
          <w:szCs w:val="32"/>
          <w:highlight w:val="none"/>
          <w:lang w:val="en-US" w:eastAsia="zh-CN"/>
        </w:rPr>
        <w:t>69.17</w:t>
      </w:r>
      <w:r>
        <w:rPr>
          <w:rFonts w:hint="eastAsia" w:ascii="仿宋_GB2312" w:hAnsi="ˎ̥" w:eastAsia="仿宋_GB2312"/>
          <w:color w:val="000000"/>
          <w:sz w:val="32"/>
          <w:szCs w:val="32"/>
          <w:highlight w:val="none"/>
        </w:rPr>
        <w:t>万元，增长</w:t>
      </w:r>
      <w:r>
        <w:rPr>
          <w:rFonts w:hint="eastAsia" w:ascii="仿宋_GB2312" w:hAnsi="ˎ̥" w:eastAsia="仿宋_GB2312"/>
          <w:color w:val="000000"/>
          <w:sz w:val="32"/>
          <w:szCs w:val="32"/>
          <w:highlight w:val="none"/>
          <w:lang w:val="en-US" w:eastAsia="zh-CN"/>
        </w:rPr>
        <w:t>16.19</w:t>
      </w:r>
      <w:r>
        <w:rPr>
          <w:rFonts w:hint="eastAsia" w:ascii="仿宋_GB2312" w:hAnsi="ˎ̥" w:eastAsia="仿宋_GB2312"/>
          <w:color w:val="000000"/>
          <w:sz w:val="32"/>
          <w:szCs w:val="32"/>
          <w:highlight w:val="none"/>
        </w:rPr>
        <w:t>%，主要原因是</w:t>
      </w:r>
      <w:r>
        <w:rPr>
          <w:rFonts w:hint="eastAsia" w:ascii="仿宋_GB2312" w:hAnsi="ˎ̥" w:eastAsia="仿宋_GB2312"/>
          <w:color w:val="000000"/>
          <w:sz w:val="32"/>
          <w:szCs w:val="32"/>
          <w:highlight w:val="none"/>
          <w:lang w:val="en-US" w:eastAsia="zh-CN"/>
        </w:rPr>
        <w:t>2023年</w:t>
      </w:r>
      <w:r>
        <w:rPr>
          <w:rFonts w:hint="eastAsia" w:ascii="楷体" w:hAnsi="楷体" w:eastAsia="楷体" w:cs="楷体"/>
          <w:color w:val="000000"/>
          <w:sz w:val="32"/>
          <w:szCs w:val="32"/>
          <w:highlight w:val="none"/>
        </w:rPr>
        <w:t>一般公共预算财政拨款</w:t>
      </w:r>
      <w:r>
        <w:rPr>
          <w:rFonts w:hint="eastAsia" w:ascii="楷体" w:hAnsi="楷体" w:eastAsia="楷体" w:cs="楷体"/>
          <w:color w:val="000000"/>
          <w:sz w:val="32"/>
          <w:szCs w:val="32"/>
          <w:highlight w:val="none"/>
          <w:lang w:eastAsia="zh-CN"/>
        </w:rPr>
        <w:t>增加</w:t>
      </w:r>
      <w:r>
        <w:rPr>
          <w:rFonts w:hint="eastAsia" w:ascii="仿宋_GB2312" w:hAnsi="ˎ̥" w:eastAsia="仿宋_GB2312"/>
          <w:color w:val="000000"/>
          <w:sz w:val="32"/>
          <w:szCs w:val="32"/>
          <w:highlight w:val="none"/>
        </w:rPr>
        <w:t>。</w:t>
      </w:r>
    </w:p>
    <w:p w14:paraId="73DEF27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86" w:name="_Toc2711_WPSOffice_Level2"/>
      <w:bookmarkStart w:id="87" w:name="_Toc18793_WPSOffice_Level2"/>
      <w:bookmarkStart w:id="88" w:name="_Toc27767_WPSOffice_Level2"/>
      <w:bookmarkStart w:id="89" w:name="_Toc19535_WPSOffice_Level2"/>
      <w:bookmarkStart w:id="90" w:name="_Toc23864_WPSOffice_Level2"/>
      <w:bookmarkStart w:id="91" w:name="_Toc19075_WPSOffice_Level2"/>
      <w:r>
        <w:rPr>
          <w:rFonts w:hint="eastAsia" w:ascii="楷体" w:hAnsi="楷体" w:eastAsia="楷体" w:cs="楷体"/>
          <w:color w:val="000000"/>
          <w:sz w:val="32"/>
          <w:szCs w:val="32"/>
          <w:highlight w:val="none"/>
        </w:rPr>
        <w:t>（二）一般公共预算财政拨款支出决算结构情况</w:t>
      </w:r>
      <w:bookmarkEnd w:id="86"/>
      <w:bookmarkEnd w:id="87"/>
      <w:r>
        <w:rPr>
          <w:rFonts w:hint="eastAsia" w:ascii="楷体" w:hAnsi="楷体" w:eastAsia="楷体" w:cs="楷体"/>
          <w:color w:val="000000"/>
          <w:sz w:val="32"/>
          <w:szCs w:val="32"/>
          <w:highlight w:val="none"/>
        </w:rPr>
        <w:t>。</w:t>
      </w:r>
      <w:bookmarkEnd w:id="88"/>
      <w:bookmarkEnd w:id="89"/>
      <w:bookmarkEnd w:id="90"/>
      <w:bookmarkEnd w:id="91"/>
    </w:p>
    <w:p w14:paraId="61C7277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年度一般公共预算财政拨款支出</w:t>
      </w:r>
      <w:r>
        <w:rPr>
          <w:rFonts w:hint="eastAsia" w:ascii="仿宋_GB2312" w:hAnsi="ˎ̥" w:eastAsia="仿宋_GB2312"/>
          <w:color w:val="000000"/>
          <w:sz w:val="32"/>
          <w:szCs w:val="32"/>
          <w:highlight w:val="none"/>
          <w:lang w:val="en-US" w:eastAsia="zh-CN"/>
        </w:rPr>
        <w:t>548.08</w:t>
      </w:r>
      <w:r>
        <w:rPr>
          <w:rFonts w:hint="eastAsia" w:ascii="仿宋_GB2312" w:hAnsi="ˎ̥" w:eastAsia="仿宋_GB2312"/>
          <w:color w:val="000000"/>
          <w:sz w:val="32"/>
          <w:szCs w:val="32"/>
          <w:highlight w:val="none"/>
        </w:rPr>
        <w:t>万元，主要用于以下方面：</w:t>
      </w:r>
      <w:r>
        <w:rPr>
          <w:rFonts w:hint="eastAsia" w:ascii="仿宋_GB2312" w:hAnsi="ˎ̥" w:eastAsia="仿宋_GB2312"/>
          <w:b/>
          <w:color w:val="000000"/>
          <w:sz w:val="32"/>
          <w:szCs w:val="32"/>
          <w:highlight w:val="none"/>
        </w:rPr>
        <w:t>节能环保支出</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55.65</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10.15</w:t>
      </w:r>
      <w:r>
        <w:rPr>
          <w:rFonts w:hint="eastAsia" w:ascii="仿宋_GB2312" w:hAnsi="ˎ̥" w:eastAsia="仿宋_GB2312"/>
          <w:color w:val="000000"/>
          <w:sz w:val="32"/>
          <w:szCs w:val="32"/>
          <w:highlight w:val="none"/>
        </w:rPr>
        <w:t>%；</w:t>
      </w:r>
      <w:r>
        <w:rPr>
          <w:rFonts w:hint="eastAsia" w:ascii="仿宋_GB2312" w:hAnsi="ˎ̥" w:eastAsia="仿宋_GB2312"/>
          <w:b/>
          <w:color w:val="000000"/>
          <w:sz w:val="32"/>
          <w:szCs w:val="32"/>
          <w:highlight w:val="none"/>
        </w:rPr>
        <w:t>社会保障和就业（类）</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37.70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6.88</w:t>
      </w:r>
      <w:r>
        <w:rPr>
          <w:rFonts w:hint="eastAsia" w:ascii="仿宋_GB2312" w:hAnsi="ˎ̥" w:eastAsia="仿宋_GB2312"/>
          <w:color w:val="000000"/>
          <w:sz w:val="32"/>
          <w:szCs w:val="32"/>
          <w:highlight w:val="none"/>
        </w:rPr>
        <w:t>%；卫生健康支出</w:t>
      </w:r>
      <w:r>
        <w:rPr>
          <w:rFonts w:hint="eastAsia" w:ascii="仿宋_GB2312" w:hAnsi="ˎ̥" w:eastAsia="仿宋_GB2312"/>
          <w:color w:val="000000"/>
          <w:sz w:val="32"/>
          <w:szCs w:val="32"/>
          <w:highlight w:val="none"/>
          <w:lang w:val="en-US" w:eastAsia="zh-CN"/>
        </w:rPr>
        <w:t>76.43万元，</w:t>
      </w:r>
      <w:r>
        <w:rPr>
          <w:rFonts w:hint="eastAsia" w:ascii="仿宋_GB2312" w:hAnsi="ˎ̥" w:eastAsia="仿宋_GB2312"/>
          <w:color w:val="000000"/>
          <w:sz w:val="32"/>
          <w:szCs w:val="32"/>
          <w:highlight w:val="none"/>
        </w:rPr>
        <w:t>占</w:t>
      </w:r>
      <w:r>
        <w:rPr>
          <w:rFonts w:hint="eastAsia" w:ascii="仿宋_GB2312" w:hAnsi="ˎ̥" w:eastAsia="仿宋_GB2312"/>
          <w:color w:val="000000"/>
          <w:sz w:val="32"/>
          <w:szCs w:val="32"/>
          <w:highlight w:val="none"/>
          <w:lang w:val="en-US" w:eastAsia="zh-CN"/>
        </w:rPr>
        <w:t>13.95</w:t>
      </w:r>
      <w:r>
        <w:rPr>
          <w:rFonts w:hint="eastAsia" w:ascii="仿宋_GB2312" w:hAnsi="ˎ̥" w:eastAsia="仿宋_GB2312"/>
          <w:color w:val="000000"/>
          <w:sz w:val="32"/>
          <w:szCs w:val="32"/>
          <w:highlight w:val="none"/>
        </w:rPr>
        <w:t>%；农林水支出</w:t>
      </w:r>
      <w:r>
        <w:rPr>
          <w:rFonts w:hint="eastAsia" w:ascii="仿宋_GB2312" w:hAnsi="ˎ̥" w:eastAsia="仿宋_GB2312"/>
          <w:color w:val="000000"/>
          <w:sz w:val="32"/>
          <w:szCs w:val="32"/>
          <w:highlight w:val="none"/>
          <w:lang w:val="en-US" w:eastAsia="zh-CN"/>
        </w:rPr>
        <w:t>367.97万元，</w:t>
      </w:r>
      <w:r>
        <w:rPr>
          <w:rFonts w:hint="eastAsia" w:ascii="仿宋_GB2312" w:hAnsi="ˎ̥" w:eastAsia="仿宋_GB2312"/>
          <w:color w:val="000000"/>
          <w:sz w:val="32"/>
          <w:szCs w:val="32"/>
          <w:highlight w:val="none"/>
        </w:rPr>
        <w:t>占</w:t>
      </w:r>
      <w:r>
        <w:rPr>
          <w:rFonts w:hint="eastAsia" w:ascii="仿宋_GB2312" w:hAnsi="ˎ̥" w:eastAsia="仿宋_GB2312"/>
          <w:color w:val="000000"/>
          <w:sz w:val="32"/>
          <w:szCs w:val="32"/>
          <w:highlight w:val="none"/>
          <w:lang w:val="en-US" w:eastAsia="zh-CN"/>
        </w:rPr>
        <w:t>69.02</w:t>
      </w:r>
      <w:r>
        <w:rPr>
          <w:rFonts w:hint="eastAsia" w:ascii="仿宋_GB2312" w:hAnsi="ˎ̥" w:eastAsia="仿宋_GB2312"/>
          <w:color w:val="000000"/>
          <w:sz w:val="32"/>
          <w:szCs w:val="32"/>
          <w:highlight w:val="none"/>
        </w:rPr>
        <w:t>%。</w:t>
      </w:r>
    </w:p>
    <w:p w14:paraId="59ED2AC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根据各部门（单位）实际支出涉及的支出功能分类类级科目填列）</w:t>
      </w:r>
    </w:p>
    <w:p w14:paraId="6595430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bookmarkStart w:id="92" w:name="_Toc29364_WPSOffice_Level2"/>
      <w:bookmarkStart w:id="93" w:name="_Toc15415_WPSOffice_Level2"/>
      <w:bookmarkStart w:id="94" w:name="_Toc22318_WPSOffice_Level2"/>
      <w:bookmarkStart w:id="95" w:name="_Toc21701_WPSOffice_Level2"/>
      <w:bookmarkStart w:id="96" w:name="_Toc9502_WPSOffice_Level2"/>
      <w:bookmarkStart w:id="97" w:name="_Toc25136_WPSOffice_Level2"/>
      <w:r>
        <w:rPr>
          <w:rFonts w:hint="eastAsia" w:ascii="楷体" w:hAnsi="楷体" w:eastAsia="楷体" w:cs="楷体"/>
          <w:color w:val="000000"/>
          <w:sz w:val="32"/>
          <w:szCs w:val="32"/>
          <w:highlight w:val="none"/>
        </w:rPr>
        <w:t>（三）一般公共预算财政拨款支出决算具体情况。</w:t>
      </w:r>
      <w:bookmarkEnd w:id="92"/>
      <w:bookmarkEnd w:id="93"/>
      <w:bookmarkEnd w:id="94"/>
      <w:bookmarkEnd w:id="95"/>
      <w:bookmarkEnd w:id="96"/>
      <w:bookmarkEnd w:id="97"/>
    </w:p>
    <w:p w14:paraId="7F43A66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年度一般公共预算财政拨款支出年初预算为</w:t>
      </w:r>
      <w:r>
        <w:rPr>
          <w:rFonts w:hint="eastAsia" w:ascii="仿宋_GB2312" w:hAnsi="ˎ̥" w:eastAsia="仿宋_GB2312"/>
          <w:color w:val="000000"/>
          <w:sz w:val="32"/>
          <w:szCs w:val="32"/>
          <w:highlight w:val="none"/>
          <w:lang w:val="en-US" w:eastAsia="zh-CN"/>
        </w:rPr>
        <w:t>512.23</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548.08</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110.54</w:t>
      </w:r>
      <w:r>
        <w:rPr>
          <w:rFonts w:hint="eastAsia" w:ascii="仿宋_GB2312" w:hAnsi="ˎ̥" w:eastAsia="仿宋_GB2312"/>
          <w:color w:val="000000"/>
          <w:sz w:val="32"/>
          <w:szCs w:val="32"/>
          <w:highlight w:val="none"/>
        </w:rPr>
        <w:t>%。其中：</w:t>
      </w:r>
    </w:p>
    <w:p w14:paraId="54722C6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b/>
          <w:color w:val="000000"/>
          <w:sz w:val="32"/>
          <w:szCs w:val="32"/>
          <w:highlight w:val="none"/>
        </w:rPr>
      </w:pPr>
      <w:r>
        <w:rPr>
          <w:rFonts w:hint="eastAsia" w:ascii="仿宋_GB2312" w:hAnsi="ˎ̥" w:eastAsia="仿宋_GB2312"/>
          <w:color w:val="000000"/>
          <w:sz w:val="32"/>
          <w:szCs w:val="32"/>
          <w:highlight w:val="none"/>
        </w:rPr>
        <w:t>1.</w:t>
      </w:r>
      <w:r>
        <w:rPr>
          <w:rFonts w:hint="eastAsia" w:ascii="仿宋_GB2312" w:hAnsi="ˎ̥" w:eastAsia="仿宋_GB2312"/>
          <w:b/>
          <w:color w:val="000000"/>
          <w:sz w:val="32"/>
          <w:szCs w:val="32"/>
          <w:highlight w:val="none"/>
        </w:rPr>
        <w:t>一般公共服务（类）人大事务（款）行政运行（项）。</w:t>
      </w:r>
    </w:p>
    <w:p w14:paraId="24BA891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年初预算为</w:t>
      </w:r>
      <w:r>
        <w:rPr>
          <w:rFonts w:hint="eastAsia" w:ascii="仿宋_GB2312" w:hAnsi="ˎ̥" w:eastAsia="仿宋_GB2312"/>
          <w:color w:val="000000"/>
          <w:sz w:val="32"/>
          <w:szCs w:val="32"/>
          <w:highlight w:val="none"/>
          <w:lang w:val="en-US" w:eastAsia="zh-CN"/>
        </w:rPr>
        <w:t>512.23</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548.08</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110.54</w:t>
      </w:r>
      <w:r>
        <w:rPr>
          <w:rFonts w:hint="eastAsia" w:ascii="仿宋_GB2312" w:hAnsi="ˎ̥" w:eastAsia="仿宋_GB2312"/>
          <w:color w:val="000000"/>
          <w:sz w:val="32"/>
          <w:szCs w:val="32"/>
          <w:highlight w:val="none"/>
        </w:rPr>
        <w:t>%。决算数大于预算数的主要原因：是</w:t>
      </w:r>
      <w:r>
        <w:rPr>
          <w:rFonts w:hint="default" w:ascii="serif" w:hAnsi="ˎ̥" w:eastAsia="serif" w:cs="serif"/>
          <w:sz w:val="32"/>
          <w:szCs w:val="32"/>
          <w:shd w:val="clear" w:fill="FFFFFF"/>
          <w:lang w:eastAsia="zh-CN"/>
        </w:rPr>
        <w:t>年初结转</w:t>
      </w:r>
      <w:r>
        <w:rPr>
          <w:rFonts w:hint="eastAsia" w:ascii="serif" w:hAnsi="ˎ̥" w:eastAsia="serif" w:cs="serif"/>
          <w:sz w:val="32"/>
          <w:szCs w:val="32"/>
          <w:shd w:val="clear" w:fill="FFFFFF"/>
          <w:lang w:val="en-US" w:eastAsia="zh-CN"/>
        </w:rPr>
        <w:t>和追加基本</w:t>
      </w:r>
      <w:r>
        <w:rPr>
          <w:rFonts w:hint="default" w:ascii="serif" w:hAnsi="ˎ̥" w:eastAsia="serif" w:cs="serif"/>
          <w:sz w:val="32"/>
          <w:szCs w:val="32"/>
          <w:shd w:val="clear" w:fill="FFFFFF"/>
          <w:lang w:eastAsia="zh-CN"/>
        </w:rPr>
        <w:t>支出数</w:t>
      </w:r>
      <w:r>
        <w:rPr>
          <w:rFonts w:hint="eastAsia" w:ascii="serif" w:hAnsi="ˎ̥" w:eastAsia="serif" w:cs="serif"/>
          <w:sz w:val="32"/>
          <w:szCs w:val="32"/>
          <w:shd w:val="clear" w:fill="FFFFFF"/>
          <w:lang w:eastAsia="zh-CN"/>
        </w:rPr>
        <w:t>。</w:t>
      </w:r>
    </w:p>
    <w:p w14:paraId="2D93596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本部分支出决算数字可取自财决公开05表，年初预算数可取自各部门（单位）年初预算大本，根据各部门（单位）实际支出涉及的支出功能分类项级科目填列）</w:t>
      </w:r>
    </w:p>
    <w:p w14:paraId="20777F23">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color w:val="000000"/>
          <w:sz w:val="32"/>
          <w:szCs w:val="32"/>
          <w:highlight w:val="none"/>
        </w:rPr>
      </w:pPr>
      <w:r>
        <w:rPr>
          <w:rFonts w:hint="eastAsia" w:ascii="黑体" w:hAnsi="黑体" w:eastAsia="黑体" w:cs="黑体"/>
          <w:bCs/>
          <w:color w:val="000000"/>
          <w:sz w:val="32"/>
          <w:szCs w:val="32"/>
          <w:highlight w:val="none"/>
        </w:rPr>
        <w:t>六、一般公共预算财政拨款基本支出决算情况说明</w:t>
      </w:r>
    </w:p>
    <w:p w14:paraId="2C9C9F9D">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年度财政拨款基本支出</w:t>
      </w:r>
      <w:r>
        <w:rPr>
          <w:rFonts w:hint="eastAsia" w:ascii="仿宋_GB2312" w:hAnsi="ˎ̥" w:eastAsia="仿宋_GB2312"/>
          <w:color w:val="000000"/>
          <w:sz w:val="32"/>
          <w:szCs w:val="32"/>
          <w:highlight w:val="none"/>
          <w:lang w:val="en-US" w:eastAsia="zh-CN"/>
        </w:rPr>
        <w:t>251.12</w:t>
      </w:r>
      <w:r>
        <w:rPr>
          <w:rFonts w:hint="eastAsia" w:ascii="仿宋_GB2312" w:hAnsi="ˎ̥" w:eastAsia="仿宋_GB2312"/>
          <w:color w:val="000000"/>
          <w:sz w:val="32"/>
          <w:szCs w:val="32"/>
          <w:highlight w:val="none"/>
        </w:rPr>
        <w:t>万元，其中：人员经费</w:t>
      </w:r>
      <w:r>
        <w:rPr>
          <w:rFonts w:hint="eastAsia" w:ascii="仿宋_GB2312" w:hAnsi="ˎ̥" w:eastAsia="仿宋_GB2312"/>
          <w:color w:val="000000"/>
          <w:sz w:val="32"/>
          <w:szCs w:val="32"/>
          <w:highlight w:val="none"/>
          <w:lang w:val="en-US" w:eastAsia="zh-CN"/>
        </w:rPr>
        <w:t>223.11</w:t>
      </w:r>
      <w:r>
        <w:rPr>
          <w:rFonts w:hint="eastAsia" w:ascii="仿宋_GB2312" w:hAnsi="ˎ̥" w:eastAsia="仿宋_GB2312"/>
          <w:color w:val="000000"/>
          <w:sz w:val="32"/>
          <w:szCs w:val="32"/>
          <w:highlight w:val="none"/>
        </w:rPr>
        <w:t>万元，主要包括：工资福利支出中的基本工资、津贴补贴、奖金、伙食补助费、绩效工资、机关事业单位基本养老保险缴费、职业年金缴费、职工基本医疗保险缴费、公务员医疗补助缴费、其他社会保障缴费、住房公积金、医疗费、其他工资福利支出；对个人和家庭的补助中的离休费、退休费、退职（役）费、抚恤金、生活补助、救济费、医疗费补助、助学金、奖励金、个人农业生产补贴、代缴社会保险费、其他对个人和家庭的补助。公用经费</w:t>
      </w:r>
      <w:r>
        <w:rPr>
          <w:rFonts w:hint="eastAsia" w:ascii="仿宋_GB2312" w:hAnsi="ˎ̥" w:eastAsia="仿宋_GB2312"/>
          <w:color w:val="000000"/>
          <w:sz w:val="32"/>
          <w:szCs w:val="32"/>
          <w:highlight w:val="none"/>
          <w:lang w:val="en-US" w:eastAsia="zh-CN"/>
        </w:rPr>
        <w:t>28.10</w:t>
      </w:r>
      <w:r>
        <w:rPr>
          <w:rFonts w:hint="eastAsia" w:ascii="仿宋_GB2312" w:hAnsi="ˎ̥" w:eastAsia="仿宋_GB2312"/>
          <w:color w:val="000000"/>
          <w:sz w:val="32"/>
          <w:szCs w:val="32"/>
          <w:highlight w:val="none"/>
        </w:rPr>
        <w:t>万元，主要包括：商品和服务支出中的办公费、印刷费、咨询费、手续费、水费、电费、邮电费、取暖费、物业管理费、差旅费、因公出国（境）费用、维修（护）费、租赁费、会议费、培训费、公务接待费、专用材料费、被装购置费、专用燃料费、劳务费、委托业务费、工会经费、福利费、公务用车运行维护费、其他交通费用、税金及附加费用、其他商品和服务支出；债务利息及费用支出中的国内债务付息及国外债务付息；资本性支出中的房屋建筑物构建、办公设备购置、专用设备购置、基础设施建设、大型修缮、信息网络及软件购置更新、物资储备、土地补偿、安置补助、地上附着物和青苗补偿、拆迁补偿、公务用车购置、其他交通工具购置、文物和陈列品购置、无形资产购置、其他资本性支出等；其他支出中的国家赔偿费用支出、对民间非营利组织和群众性自治组织补贴</w:t>
      </w:r>
      <w:r>
        <w:rPr>
          <w:rFonts w:hint="eastAsia" w:ascii="仿宋_GB2312" w:hAnsi="ˎ̥" w:eastAsia="仿宋_GB2312"/>
          <w:color w:val="000000"/>
          <w:sz w:val="32"/>
          <w:szCs w:val="32"/>
          <w:highlight w:val="none"/>
          <w:lang w:eastAsia="zh-CN"/>
        </w:rPr>
        <w:t>、经常性</w:t>
      </w:r>
      <w:r>
        <w:rPr>
          <w:rFonts w:hint="eastAsia" w:ascii="仿宋_GB2312" w:hAnsi="ˎ̥" w:eastAsia="仿宋_GB2312"/>
          <w:color w:val="000000"/>
          <w:sz w:val="32"/>
          <w:szCs w:val="32"/>
          <w:highlight w:val="none"/>
        </w:rPr>
        <w:t>赠予、</w:t>
      </w:r>
      <w:r>
        <w:rPr>
          <w:rFonts w:hint="eastAsia" w:ascii="仿宋_GB2312" w:hAnsi="ˎ̥" w:eastAsia="仿宋_GB2312"/>
          <w:color w:val="000000"/>
          <w:sz w:val="32"/>
          <w:szCs w:val="32"/>
          <w:highlight w:val="none"/>
          <w:lang w:eastAsia="zh-CN"/>
        </w:rPr>
        <w:t>资本性赠予</w:t>
      </w:r>
      <w:r>
        <w:rPr>
          <w:rFonts w:hint="eastAsia" w:ascii="仿宋_GB2312" w:hAnsi="ˎ̥" w:eastAsia="仿宋_GB2312"/>
          <w:color w:val="000000"/>
          <w:sz w:val="32"/>
          <w:szCs w:val="32"/>
          <w:highlight w:val="none"/>
        </w:rPr>
        <w:t>和其他支出。</w:t>
      </w:r>
    </w:p>
    <w:p w14:paraId="32C08F96">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上述数字可取自财决公开06表，各部门（单位）根据实际支出情况，选列相应支出经济分类。）</w:t>
      </w:r>
    </w:p>
    <w:p w14:paraId="64948AF6">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七、政府性基金预算财政拨款支出决算情况说明</w:t>
      </w:r>
    </w:p>
    <w:p w14:paraId="731E29D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（一）政府性基金预算财政拨款支出决算总体情况。</w:t>
      </w:r>
    </w:p>
    <w:p w14:paraId="7D34DE3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年度政府性基金预算财政拨款支出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年度相比，政府性基金预算财政拨款支出增加（减少）</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万元，增长（下降）</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default" w:ascii="serif" w:hAnsi="ˎ̥" w:eastAsia="serif" w:cs="serif"/>
          <w:sz w:val="32"/>
          <w:szCs w:val="32"/>
          <w:lang w:eastAsia="zh-CN"/>
        </w:rPr>
        <w:t>无收支发生数</w:t>
      </w:r>
      <w:r>
        <w:rPr>
          <w:rFonts w:hint="eastAsia" w:ascii="仿宋_GB2312" w:hAnsi="ˎ̥" w:eastAsia="仿宋_GB2312"/>
          <w:color w:val="000000"/>
          <w:sz w:val="32"/>
          <w:szCs w:val="32"/>
          <w:highlight w:val="none"/>
        </w:rPr>
        <w:t>。</w:t>
      </w:r>
    </w:p>
    <w:p w14:paraId="03A4454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（二）政府性基金预算财政拨款支出决算结构情况。</w:t>
      </w:r>
    </w:p>
    <w:p w14:paraId="5090F17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年度政府性基金预算财政拨款支出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根据各部门（单位）实际支出涉及的支出功能分类类级科目填列）</w:t>
      </w:r>
    </w:p>
    <w:p w14:paraId="328C8F6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（三）政府性基金预算财政拨款支出决算具体情况。</w:t>
      </w:r>
    </w:p>
    <w:p w14:paraId="362A31B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年度政府性基金预算财政拨款支出年初预算为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5563A116">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根据各部门（单位）实际支出涉及的支出功能分类项级科目填列，本部分202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年决算相关数据取自财决公开07表；202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年决算相关数据取自财决09表《政府性基金预算财政拨款收入支出决算表》）</w:t>
      </w:r>
    </w:p>
    <w:p w14:paraId="5DEF08F9">
      <w:pPr>
        <w:keepNext w:val="0"/>
        <w:keepLines w:val="0"/>
        <w:pageBreakBefore w:val="0"/>
        <w:tabs>
          <w:tab w:val="center" w:pos="4473"/>
        </w:tabs>
        <w:kinsoku/>
        <w:wordWrap/>
        <w:overflowPunct/>
        <w:topLinePunct w:val="0"/>
        <w:autoSpaceDE/>
        <w:autoSpaceDN/>
        <w:bidi w:val="0"/>
        <w:adjustRightInd/>
        <w:snapToGrid/>
        <w:spacing w:line="560" w:lineRule="exact"/>
        <w:ind w:firstLine="627" w:firstLineChars="196"/>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八、国有资本经营预算财政拨款支出决算情况说明</w:t>
      </w:r>
    </w:p>
    <w:p w14:paraId="7DE33DA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（一）国有资本经营预算财政拨款支出决算总体情况。</w:t>
      </w:r>
    </w:p>
    <w:p w14:paraId="328F217A">
      <w:pPr>
        <w:spacing w:before="0" w:beforeAutospacing="1" w:after="0" w:afterAutospacing="1"/>
        <w:ind w:left="0" w:firstLine="640" w:firstLineChars="200"/>
        <w:rPr>
          <w:rFonts w:hint="default" w:ascii="serif" w:hAnsi="ˎ̥" w:eastAsia="serif" w:cs="serif"/>
          <w:sz w:val="32"/>
          <w:szCs w:val="32"/>
          <w:lang w:val="en-US"/>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年度国有资本经营预算财政拨款支出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万元，占本年支出合计的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%。与202</w:t>
      </w:r>
      <w:r>
        <w:rPr>
          <w:rFonts w:hint="eastAsia" w:ascii="仿宋_GB2312" w:hAnsi="ˎ̥" w:eastAsia="仿宋_GB2312"/>
          <w:color w:val="000000"/>
          <w:sz w:val="32"/>
          <w:szCs w:val="32"/>
          <w:highlight w:val="none"/>
          <w:lang w:val="en-US" w:eastAsia="zh-CN"/>
        </w:rPr>
        <w:t>2</w:t>
      </w:r>
      <w:r>
        <w:rPr>
          <w:rFonts w:hint="eastAsia" w:ascii="仿宋_GB2312" w:hAnsi="ˎ̥" w:eastAsia="仿宋_GB2312"/>
          <w:color w:val="000000"/>
          <w:sz w:val="32"/>
          <w:szCs w:val="32"/>
          <w:highlight w:val="none"/>
        </w:rPr>
        <w:t>年度相比，国有资本经营预算财政拨款支出增加（减少）</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万元，增长（下降）</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%，主要原因是</w:t>
      </w:r>
      <w:r>
        <w:rPr>
          <w:rFonts w:hint="default" w:ascii="serif" w:hAnsi="ˎ̥" w:eastAsia="serif" w:cs="serif"/>
          <w:sz w:val="32"/>
          <w:szCs w:val="32"/>
          <w:lang w:eastAsia="zh-CN"/>
        </w:rPr>
        <w:t>国有资本经营预算财政拨款支出无支出数，无增减比率。</w:t>
      </w:r>
    </w:p>
    <w:p w14:paraId="023F146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（二）国有资本经营预算财政拨款支出决算结构情况。</w:t>
      </w:r>
    </w:p>
    <w:p w14:paraId="75C3E41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年度国有资本经营预算财政拨款支出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4B2D9F6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根据各部门（单位）实际支出涉及的支出功能分类类级科目填列）</w:t>
      </w:r>
    </w:p>
    <w:p w14:paraId="6EE523B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color w:val="000000"/>
          <w:sz w:val="32"/>
          <w:szCs w:val="32"/>
          <w:highlight w:val="none"/>
        </w:rPr>
      </w:pPr>
      <w:r>
        <w:rPr>
          <w:rFonts w:hint="eastAsia" w:ascii="楷体" w:hAnsi="楷体" w:eastAsia="楷体" w:cs="楷体"/>
          <w:color w:val="000000"/>
          <w:sz w:val="32"/>
          <w:szCs w:val="32"/>
          <w:highlight w:val="none"/>
        </w:rPr>
        <w:t>（三）国有资本经营预算财政拨款支出决算具体情况。</w:t>
      </w:r>
    </w:p>
    <w:p w14:paraId="06DF9E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年度国有资本经营预算财政拨款支出年初预算为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万元，完成年初预算的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2C9EF596">
      <w:pPr>
        <w:keepNext w:val="0"/>
        <w:keepLines w:val="0"/>
        <w:pageBreakBefore w:val="0"/>
        <w:tabs>
          <w:tab w:val="center" w:pos="4473"/>
        </w:tabs>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根据各部门（单位）实际支出涉及的支出功能分类项级科目填列，本部分202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年决算相关数据取自财决公开08表）。</w:t>
      </w:r>
    </w:p>
    <w:p w14:paraId="25F27B0E">
      <w:pPr>
        <w:keepNext w:val="0"/>
        <w:keepLines w:val="0"/>
        <w:pageBreakBefore w:val="0"/>
        <w:kinsoku/>
        <w:wordWrap/>
        <w:overflowPunct/>
        <w:topLinePunct w:val="0"/>
        <w:autoSpaceDE/>
        <w:autoSpaceDN/>
        <w:bidi w:val="0"/>
        <w:adjustRightInd/>
        <w:snapToGrid/>
        <w:spacing w:line="560" w:lineRule="exact"/>
        <w:ind w:firstLine="627" w:firstLineChars="196"/>
        <w:textAlignment w:val="auto"/>
        <w:rPr>
          <w:rFonts w:hint="eastAsia" w:ascii="仿宋_GB2312" w:hAnsi="ˎ̥" w:eastAsia="楷体_GB2312"/>
          <w:color w:val="000000"/>
          <w:sz w:val="32"/>
          <w:szCs w:val="32"/>
          <w:highlight w:val="none"/>
        </w:rPr>
      </w:pPr>
      <w:r>
        <w:rPr>
          <w:rFonts w:hint="eastAsia" w:ascii="黑体" w:hAnsi="黑体" w:eastAsia="黑体" w:cs="黑体"/>
          <w:bCs/>
          <w:color w:val="000000"/>
          <w:sz w:val="32"/>
          <w:szCs w:val="32"/>
          <w:highlight w:val="none"/>
        </w:rPr>
        <w:t>九、财政拨款“三公”经费支出决算情况说明</w:t>
      </w:r>
    </w:p>
    <w:p w14:paraId="27F259B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r>
        <w:rPr>
          <w:rFonts w:hint="eastAsia" w:ascii="楷体" w:hAnsi="楷体" w:eastAsia="楷体" w:cs="楷体"/>
          <w:bCs/>
          <w:color w:val="000000"/>
          <w:sz w:val="32"/>
          <w:szCs w:val="32"/>
          <w:highlight w:val="none"/>
        </w:rPr>
        <w:t>（一）财政拨款“三公”经费支出决算总体情况说明。</w:t>
      </w:r>
    </w:p>
    <w:p w14:paraId="0F4B4F40">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 xml:space="preserve">    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年度财政拨款“三公”经费支出预算为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万元，支出决算为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万元，完成预算的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44DE231E">
      <w:pPr>
        <w:keepNext w:val="0"/>
        <w:keepLines w:val="0"/>
        <w:pageBreakBefore w:val="0"/>
        <w:kinsoku/>
        <w:wordWrap/>
        <w:overflowPunct/>
        <w:topLinePunct w:val="0"/>
        <w:autoSpaceDE/>
        <w:autoSpaceDN/>
        <w:bidi w:val="0"/>
        <w:adjustRightInd/>
        <w:snapToGrid/>
        <w:spacing w:line="560" w:lineRule="exact"/>
        <w:textAlignment w:val="auto"/>
        <w:rPr>
          <w:rFonts w:hint="eastAsia" w:ascii="楷体" w:hAnsi="楷体" w:eastAsia="楷体" w:cs="楷体"/>
          <w:color w:val="000000"/>
          <w:sz w:val="32"/>
          <w:szCs w:val="32"/>
          <w:highlight w:val="none"/>
        </w:rPr>
      </w:pPr>
      <w:r>
        <w:rPr>
          <w:rFonts w:hint="eastAsia" w:ascii="楷体" w:hAnsi="楷体" w:eastAsia="楷体" w:cs="楷体"/>
          <w:b/>
          <w:bCs/>
          <w:color w:val="000000"/>
          <w:sz w:val="32"/>
          <w:szCs w:val="32"/>
          <w:highlight w:val="none"/>
        </w:rPr>
        <w:t xml:space="preserve">   </w:t>
      </w:r>
      <w:r>
        <w:rPr>
          <w:rFonts w:hint="eastAsia" w:ascii="楷体" w:hAnsi="楷体" w:eastAsia="楷体" w:cs="楷体"/>
          <w:color w:val="000000"/>
          <w:sz w:val="32"/>
          <w:szCs w:val="32"/>
          <w:highlight w:val="none"/>
        </w:rPr>
        <w:t xml:space="preserve"> （二）财政拨款“三公”经费支出决算具体情况说明。</w:t>
      </w:r>
    </w:p>
    <w:p w14:paraId="6C625E2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年度财政拨款“三公”经费支出决算中，因公出国（境）费支出决算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%；公务用车购置及运行维护费支出决算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%；公务接待费支出决算</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57F37E1E">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 xml:space="preserve">    2.公务用车购置及运行维护费支出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06B76AC6">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bCs/>
          <w:color w:val="000000"/>
          <w:sz w:val="32"/>
          <w:szCs w:val="32"/>
          <w:highlight w:val="none"/>
        </w:rPr>
      </w:pPr>
      <w:r>
        <w:rPr>
          <w:rFonts w:hint="eastAsia" w:ascii="仿宋_GB2312" w:hAnsi="ˎ̥" w:eastAsia="仿宋_GB2312"/>
          <w:b/>
          <w:color w:val="000000"/>
          <w:sz w:val="32"/>
          <w:szCs w:val="32"/>
          <w:highlight w:val="none"/>
        </w:rPr>
        <w:t>公务用车运行维护费</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0BC35DB0">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 xml:space="preserve">    3.公务接待费支出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万元，其中：</w:t>
      </w:r>
    </w:p>
    <w:p w14:paraId="539B1B2C">
      <w:pPr>
        <w:keepNext w:val="0"/>
        <w:keepLines w:val="0"/>
        <w:pageBreakBefore w:val="0"/>
        <w:kinsoku/>
        <w:wordWrap/>
        <w:overflowPunct/>
        <w:topLinePunct w:val="0"/>
        <w:autoSpaceDE/>
        <w:autoSpaceDN/>
        <w:bidi w:val="0"/>
        <w:adjustRightInd/>
        <w:snapToGrid/>
        <w:spacing w:line="560" w:lineRule="exact"/>
        <w:ind w:firstLine="643" w:firstLineChars="200"/>
        <w:textAlignment w:val="auto"/>
        <w:rPr>
          <w:rFonts w:hint="eastAsia" w:ascii="仿宋_GB2312" w:hAnsi="ˎ̥" w:eastAsia="仿宋_GB2312"/>
          <w:color w:val="000000"/>
          <w:sz w:val="32"/>
          <w:szCs w:val="32"/>
          <w:highlight w:val="none"/>
        </w:rPr>
      </w:pPr>
      <w:r>
        <w:rPr>
          <w:rFonts w:hint="eastAsia" w:ascii="仿宋_GB2312" w:hAnsi="ˎ̥" w:eastAsia="仿宋_GB2312"/>
          <w:b/>
          <w:color w:val="000000"/>
          <w:sz w:val="32"/>
          <w:szCs w:val="32"/>
          <w:highlight w:val="none"/>
        </w:rPr>
        <w:t>国内接待费</w:t>
      </w:r>
      <w:r>
        <w:rPr>
          <w:rFonts w:hint="eastAsia" w:ascii="仿宋_GB2312" w:hAnsi="ˎ̥" w:eastAsia="仿宋_GB2312"/>
          <w:color w:val="000000"/>
          <w:sz w:val="32"/>
          <w:szCs w:val="32"/>
          <w:highlight w:val="none"/>
        </w:rPr>
        <w:t>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万元，国内公务接待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批次，接待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人次；</w:t>
      </w:r>
    </w:p>
    <w:p w14:paraId="7BAD676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国（境）外接待费支出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万元，国（境）外公务接待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批次，接待</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人次；公务接待费支出决算数比预算数增加（减少）</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万元，增长（下降）</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6CB5809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年度“三公”经费预算数、决算数可取自附件财决公开09表，202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年的出国团组数、出国人次，公务用车购置数、公务用车保有量，接待团组数、接待人次可取自部门决算报表F03表《机构运行信息表》）。</w:t>
      </w:r>
    </w:p>
    <w:p w14:paraId="0492773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十、预算绩效情况说明</w:t>
      </w:r>
    </w:p>
    <w:p w14:paraId="6E634D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（一）</w:t>
      </w:r>
      <w:r>
        <w:rPr>
          <w:rFonts w:hint="eastAsia" w:ascii="楷体" w:hAnsi="楷体" w:eastAsia="楷体" w:cs="楷体"/>
          <w:b w:val="0"/>
          <w:bCs/>
          <w:color w:val="000000"/>
          <w:sz w:val="32"/>
          <w:szCs w:val="32"/>
          <w:highlight w:val="none"/>
        </w:rPr>
        <w:t>绩效管理工作开展情况。</w:t>
      </w:r>
    </w:p>
    <w:p w14:paraId="4C2B0F5E">
      <w:pPr>
        <w:spacing w:line="578" w:lineRule="exact"/>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根据财政预算管理要求，我单位组织对</w:t>
      </w:r>
      <w:r>
        <w:rPr>
          <w:rFonts w:hint="eastAsia" w:ascii="仿宋" w:hAnsi="仿宋" w:eastAsia="仿宋" w:cs="仿宋"/>
          <w:sz w:val="32"/>
          <w:szCs w:val="32"/>
          <w:lang w:val="en-US"/>
        </w:rPr>
        <w:t>202</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年度一般公共预算项目支出全面开展绩效自评。自评项目</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个，共涉及资金</w:t>
      </w:r>
      <w:r>
        <w:rPr>
          <w:rFonts w:hint="eastAsia" w:ascii="仿宋" w:hAnsi="仿宋" w:eastAsia="仿宋" w:cs="仿宋"/>
          <w:sz w:val="32"/>
          <w:szCs w:val="32"/>
          <w:lang w:val="en-US" w:eastAsia="zh-CN"/>
        </w:rPr>
        <w:t>247.91</w:t>
      </w:r>
      <w:r>
        <w:rPr>
          <w:rFonts w:hint="eastAsia" w:ascii="仿宋" w:hAnsi="仿宋" w:eastAsia="仿宋" w:cs="仿宋"/>
          <w:sz w:val="32"/>
          <w:szCs w:val="32"/>
          <w:lang w:eastAsia="zh-CN"/>
        </w:rPr>
        <w:t>万元，自评覆盖率达到</w:t>
      </w:r>
      <w:r>
        <w:rPr>
          <w:rFonts w:hint="eastAsia" w:ascii="仿宋" w:hAnsi="仿宋" w:eastAsia="仿宋" w:cs="仿宋"/>
          <w:sz w:val="32"/>
          <w:szCs w:val="32"/>
          <w:lang w:val="en-US"/>
        </w:rPr>
        <w:t>100%</w:t>
      </w:r>
      <w:r>
        <w:rPr>
          <w:rFonts w:hint="eastAsia" w:ascii="仿宋" w:hAnsi="仿宋" w:eastAsia="仿宋" w:cs="仿宋"/>
          <w:sz w:val="32"/>
          <w:szCs w:val="32"/>
          <w:lang w:eastAsia="zh-CN"/>
        </w:rPr>
        <w:t>。</w:t>
      </w:r>
    </w:p>
    <w:p w14:paraId="5D921BD8">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eastAsia" w:ascii="仿宋" w:hAnsi="仿宋" w:eastAsia="仿宋" w:cs="仿宋"/>
          <w:sz w:val="32"/>
          <w:szCs w:val="32"/>
          <w:lang w:val="en-US" w:bidi="ar"/>
        </w:rPr>
      </w:pPr>
      <w:r>
        <w:rPr>
          <w:rFonts w:hint="eastAsia" w:ascii="仿宋" w:hAnsi="仿宋" w:eastAsia="仿宋" w:cs="仿宋"/>
          <w:sz w:val="32"/>
          <w:szCs w:val="32"/>
          <w:lang w:eastAsia="zh-CN"/>
        </w:rPr>
        <w:t>共组织对“海南</w:t>
      </w:r>
      <w:r>
        <w:rPr>
          <w:rFonts w:hint="eastAsia" w:ascii="仿宋" w:hAnsi="仿宋" w:eastAsia="仿宋" w:cs="仿宋"/>
          <w:sz w:val="32"/>
          <w:szCs w:val="32"/>
          <w:lang w:val="en-US" w:eastAsia="zh-CN"/>
        </w:rPr>
        <w:t>南林</w:t>
      </w:r>
      <w:r>
        <w:rPr>
          <w:rFonts w:hint="eastAsia" w:ascii="仿宋" w:hAnsi="仿宋" w:eastAsia="仿宋" w:cs="仿宋"/>
          <w:sz w:val="32"/>
          <w:szCs w:val="32"/>
          <w:lang w:eastAsia="zh-CN"/>
        </w:rPr>
        <w:t>省级自然保护区</w:t>
      </w:r>
      <w:r>
        <w:rPr>
          <w:rFonts w:hint="eastAsia" w:ascii="仿宋" w:hAnsi="仿宋" w:eastAsia="仿宋" w:cs="仿宋"/>
          <w:i w:val="0"/>
          <w:iCs w:val="0"/>
          <w:caps w:val="0"/>
          <w:color w:val="000000"/>
          <w:spacing w:val="0"/>
          <w:sz w:val="32"/>
          <w:szCs w:val="32"/>
          <w:shd w:val="clear" w:fill="FFFFFF"/>
        </w:rPr>
        <w:t>林业生态保护恢复资金</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生态保护与恢复</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等</w:t>
      </w:r>
      <w:r>
        <w:rPr>
          <w:rFonts w:hint="eastAsia" w:ascii="仿宋" w:hAnsi="仿宋" w:eastAsia="仿宋" w:cs="仿宋"/>
          <w:sz w:val="32"/>
          <w:szCs w:val="32"/>
          <w:lang w:val="en-US" w:eastAsia="zh-CN"/>
        </w:rPr>
        <w:t>3</w:t>
      </w:r>
      <w:r>
        <w:rPr>
          <w:rFonts w:hint="eastAsia" w:ascii="仿宋" w:hAnsi="仿宋" w:eastAsia="仿宋" w:cs="仿宋"/>
          <w:sz w:val="32"/>
          <w:szCs w:val="32"/>
          <w:lang w:eastAsia="zh-CN"/>
        </w:rPr>
        <w:t>个项目开展了部门评价，涉及资金</w:t>
      </w:r>
      <w:r>
        <w:rPr>
          <w:rFonts w:hint="eastAsia" w:ascii="仿宋" w:hAnsi="仿宋" w:eastAsia="仿宋" w:cs="仿宋"/>
          <w:sz w:val="32"/>
          <w:szCs w:val="32"/>
          <w:lang w:val="en-US" w:eastAsia="zh-CN"/>
        </w:rPr>
        <w:t>247.91</w:t>
      </w:r>
      <w:r>
        <w:rPr>
          <w:rFonts w:hint="eastAsia" w:ascii="仿宋" w:hAnsi="仿宋" w:eastAsia="仿宋" w:cs="仿宋"/>
          <w:sz w:val="32"/>
          <w:szCs w:val="32"/>
          <w:lang w:eastAsia="zh-CN"/>
        </w:rPr>
        <w:t>万元。从评价情况来看，一是项目支出控制在预算范围内；二是项目按时按质按量完成，项目绩效目标达标率为</w:t>
      </w:r>
      <w:r>
        <w:rPr>
          <w:rFonts w:hint="eastAsia" w:ascii="仿宋" w:hAnsi="仿宋" w:eastAsia="仿宋" w:cs="仿宋"/>
          <w:sz w:val="32"/>
          <w:szCs w:val="32"/>
          <w:lang w:val="en-US" w:eastAsia="zh-CN"/>
        </w:rPr>
        <w:t>100</w:t>
      </w:r>
      <w:r>
        <w:rPr>
          <w:rFonts w:hint="eastAsia" w:ascii="仿宋" w:hAnsi="仿宋" w:eastAsia="仿宋" w:cs="仿宋"/>
          <w:sz w:val="32"/>
          <w:szCs w:val="32"/>
          <w:lang w:val="en-US"/>
        </w:rPr>
        <w:t>%</w:t>
      </w:r>
      <w:r>
        <w:rPr>
          <w:rFonts w:hint="eastAsia" w:ascii="仿宋" w:hAnsi="仿宋" w:eastAsia="仿宋" w:cs="仿宋"/>
          <w:sz w:val="32"/>
          <w:szCs w:val="32"/>
          <w:lang w:eastAsia="zh-CN"/>
        </w:rPr>
        <w:t>，</w:t>
      </w:r>
      <w:r>
        <w:rPr>
          <w:rFonts w:hint="eastAsia" w:ascii="仿宋" w:hAnsi="仿宋" w:eastAsia="仿宋" w:cs="仿宋"/>
          <w:sz w:val="32"/>
          <w:szCs w:val="32"/>
          <w:lang w:eastAsia="zh-CN" w:bidi="ar"/>
        </w:rPr>
        <w:t>以上</w:t>
      </w:r>
      <w:r>
        <w:rPr>
          <w:rFonts w:hint="eastAsia" w:ascii="仿宋" w:hAnsi="仿宋" w:eastAsia="仿宋" w:cs="仿宋"/>
          <w:sz w:val="32"/>
          <w:szCs w:val="32"/>
          <w:lang w:val="en-US" w:eastAsia="zh-CN" w:bidi="ar"/>
        </w:rPr>
        <w:t>3</w:t>
      </w:r>
      <w:r>
        <w:rPr>
          <w:rFonts w:hint="eastAsia" w:ascii="仿宋" w:hAnsi="仿宋" w:eastAsia="仿宋" w:cs="仿宋"/>
          <w:sz w:val="32"/>
          <w:szCs w:val="32"/>
          <w:lang w:eastAsia="zh-CN" w:bidi="ar"/>
        </w:rPr>
        <w:t>个项目的评价平均分约为</w:t>
      </w:r>
      <w:r>
        <w:rPr>
          <w:rFonts w:hint="eastAsia" w:ascii="仿宋" w:hAnsi="仿宋" w:eastAsia="仿宋" w:cs="仿宋"/>
          <w:sz w:val="32"/>
          <w:szCs w:val="32"/>
          <w:lang w:val="en-US" w:bidi="ar"/>
        </w:rPr>
        <w:t>93</w:t>
      </w:r>
      <w:r>
        <w:rPr>
          <w:rFonts w:hint="eastAsia" w:ascii="仿宋" w:hAnsi="仿宋" w:eastAsia="仿宋" w:cs="仿宋"/>
          <w:sz w:val="32"/>
          <w:szCs w:val="32"/>
          <w:lang w:eastAsia="zh-CN" w:bidi="ar"/>
        </w:rPr>
        <w:t>分</w:t>
      </w:r>
      <w:r>
        <w:rPr>
          <w:rFonts w:hint="eastAsia" w:ascii="仿宋" w:hAnsi="仿宋" w:eastAsia="仿宋" w:cs="仿宋"/>
          <w:sz w:val="32"/>
          <w:szCs w:val="32"/>
          <w:lang w:eastAsia="zh-CN"/>
        </w:rPr>
        <w:t>，评价结果为优。</w:t>
      </w:r>
    </w:p>
    <w:p w14:paraId="1C357151">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val="en-US"/>
        </w:rPr>
        <w:t xml:space="preserve">    </w:t>
      </w:r>
      <w:r>
        <w:rPr>
          <w:rFonts w:hint="eastAsia" w:ascii="仿宋" w:hAnsi="仿宋" w:eastAsia="仿宋" w:cs="仿宋"/>
          <w:sz w:val="32"/>
          <w:szCs w:val="32"/>
          <w:lang w:eastAsia="zh-CN"/>
        </w:rPr>
        <w:t>开展整体支出绩效评价，涉及资金</w:t>
      </w:r>
      <w:r>
        <w:rPr>
          <w:rFonts w:hint="eastAsia" w:ascii="仿宋" w:hAnsi="仿宋" w:eastAsia="仿宋" w:cs="仿宋"/>
          <w:sz w:val="32"/>
          <w:szCs w:val="32"/>
          <w:lang w:val="en-US" w:eastAsia="zh-CN"/>
        </w:rPr>
        <w:t>247.91</w:t>
      </w:r>
      <w:r>
        <w:rPr>
          <w:rFonts w:hint="eastAsia" w:ascii="仿宋" w:hAnsi="仿宋" w:eastAsia="仿宋" w:cs="仿宋"/>
          <w:sz w:val="32"/>
          <w:szCs w:val="32"/>
          <w:lang w:eastAsia="zh-CN"/>
        </w:rPr>
        <w:t>万元，共有我单位今年在省本级部门决算中反映海南</w:t>
      </w:r>
      <w:r>
        <w:rPr>
          <w:rFonts w:hint="eastAsia" w:ascii="仿宋" w:hAnsi="仿宋" w:eastAsia="仿宋" w:cs="仿宋"/>
          <w:sz w:val="32"/>
          <w:szCs w:val="32"/>
          <w:lang w:val="en-US" w:eastAsia="zh-CN"/>
        </w:rPr>
        <w:t>南林</w:t>
      </w:r>
      <w:r>
        <w:rPr>
          <w:rFonts w:hint="eastAsia" w:ascii="仿宋" w:hAnsi="仿宋" w:eastAsia="仿宋" w:cs="仿宋"/>
          <w:sz w:val="32"/>
          <w:szCs w:val="32"/>
          <w:lang w:eastAsia="zh-CN"/>
        </w:rPr>
        <w:t>省级自然保护区生态恢复及生态公益林管护项目绩效自评结果。</w:t>
      </w:r>
    </w:p>
    <w:p w14:paraId="52195C4D">
      <w:pPr>
        <w:spacing w:line="560" w:lineRule="exact"/>
        <w:ind w:left="0" w:firstLine="640" w:firstLineChars="200"/>
        <w:rPr>
          <w:rFonts w:hint="eastAsia" w:ascii="仿宋" w:hAnsi="仿宋" w:eastAsia="仿宋" w:cs="仿宋"/>
          <w:sz w:val="32"/>
          <w:szCs w:val="32"/>
          <w:lang w:val="en-US" w:bidi="ar"/>
        </w:rPr>
      </w:pPr>
      <w:r>
        <w:rPr>
          <w:rFonts w:hint="eastAsia" w:ascii="仿宋" w:hAnsi="仿宋" w:eastAsia="仿宋" w:cs="仿宋"/>
          <w:sz w:val="32"/>
          <w:szCs w:val="32"/>
          <w:lang w:eastAsia="zh-CN" w:bidi="ar"/>
        </w:rPr>
        <w:t>本项目完成后规范了保护区的建设和管理水平，促进了保护区健康可持续发展。</w:t>
      </w:r>
    </w:p>
    <w:p w14:paraId="3CB05FC1">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生态公益林管护项目绩效自评综述：根据年初设定的绩效目标，项目自评得分为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rPr>
        <w:t>247.91</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247.91</w:t>
      </w:r>
      <w:r>
        <w:rPr>
          <w:rFonts w:hint="eastAsia" w:ascii="仿宋" w:hAnsi="仿宋" w:eastAsia="仿宋" w:cs="仿宋"/>
          <w:sz w:val="32"/>
          <w:szCs w:val="32"/>
          <w:lang w:eastAsia="zh-CN"/>
        </w:rPr>
        <w:t>万元，完成预算的</w:t>
      </w:r>
      <w:r>
        <w:rPr>
          <w:rFonts w:hint="eastAsia" w:ascii="仿宋" w:hAnsi="仿宋" w:eastAsia="仿宋" w:cs="仿宋"/>
          <w:sz w:val="32"/>
          <w:szCs w:val="32"/>
          <w:lang w:val="en-US" w:eastAsia="zh-CN"/>
        </w:rPr>
        <w:t>100</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。项目绩效目标完成情况：一是本项目批复财政资金</w:t>
      </w:r>
      <w:r>
        <w:rPr>
          <w:rFonts w:hint="eastAsia" w:ascii="仿宋" w:hAnsi="仿宋" w:eastAsia="仿宋" w:cs="仿宋"/>
          <w:sz w:val="32"/>
          <w:szCs w:val="32"/>
          <w:lang w:val="en-US" w:eastAsia="zh-CN"/>
        </w:rPr>
        <w:t>247.91</w:t>
      </w:r>
      <w:r>
        <w:rPr>
          <w:rFonts w:hint="eastAsia" w:ascii="仿宋" w:hAnsi="仿宋" w:eastAsia="仿宋" w:cs="仿宋"/>
          <w:sz w:val="32"/>
          <w:szCs w:val="32"/>
          <w:lang w:eastAsia="zh-CN"/>
        </w:rPr>
        <w:t>万元，项目实施按照预算控制支出；二是制定的各项绩效指标产出达到预期。发现的主要问题及原因：一是绩效目标完成率</w:t>
      </w:r>
      <w:r>
        <w:rPr>
          <w:rFonts w:hint="eastAsia" w:ascii="仿宋" w:hAnsi="仿宋" w:eastAsia="仿宋" w:cs="仿宋"/>
          <w:sz w:val="32"/>
          <w:szCs w:val="32"/>
          <w:lang w:val="en-US" w:eastAsia="zh-CN"/>
        </w:rPr>
        <w:t>100</w:t>
      </w:r>
      <w:r>
        <w:rPr>
          <w:rFonts w:hint="eastAsia" w:ascii="仿宋" w:hAnsi="仿宋" w:eastAsia="仿宋" w:cs="仿宋"/>
          <w:sz w:val="32"/>
          <w:szCs w:val="32"/>
          <w:lang w:val="en-US"/>
        </w:rPr>
        <w:t>%</w:t>
      </w:r>
      <w:r>
        <w:rPr>
          <w:rFonts w:hint="eastAsia" w:ascii="仿宋" w:hAnsi="仿宋" w:eastAsia="仿宋" w:cs="仿宋"/>
          <w:sz w:val="32"/>
          <w:szCs w:val="32"/>
          <w:lang w:eastAsia="zh-CN"/>
        </w:rPr>
        <w:t>。</w:t>
      </w:r>
    </w:p>
    <w:p w14:paraId="5C30A249">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项目完成后生态管护区域生态环境得到明显改善，林地涵养水源、保持水土能力不断增强，自然灾害发生率和强度得到一定程度控制；实行生态效益补偿保障林农的收益权，调动了爱林护林的积极性，促进林区的发展；严格的公益林管护，有效的保护了森林资源，提高了森林质量，森林资源的增长，生态功能的提升，生态效益补偿和公益林管护在其中发挥了重要作用。</w:t>
      </w:r>
    </w:p>
    <w:p w14:paraId="16362905">
      <w:pPr>
        <w:spacing w:line="560" w:lineRule="exact"/>
        <w:rPr>
          <w:rFonts w:hint="eastAsia" w:ascii="仿宋" w:hAnsi="仿宋" w:eastAsia="仿宋" w:cs="仿宋"/>
          <w:sz w:val="32"/>
          <w:szCs w:val="32"/>
          <w:lang w:val="en-US"/>
        </w:rPr>
      </w:pPr>
      <w:r>
        <w:rPr>
          <w:rFonts w:hint="eastAsia" w:ascii="仿宋" w:hAnsi="仿宋" w:eastAsia="仿宋" w:cs="仿宋"/>
          <w:sz w:val="32"/>
          <w:szCs w:val="32"/>
          <w:lang w:eastAsia="zh-CN"/>
        </w:rPr>
        <w:t>。从评价情况来看，海南</w:t>
      </w:r>
      <w:r>
        <w:rPr>
          <w:rFonts w:hint="eastAsia" w:ascii="仿宋" w:hAnsi="仿宋" w:eastAsia="仿宋" w:cs="仿宋"/>
          <w:sz w:val="32"/>
          <w:szCs w:val="32"/>
          <w:lang w:val="en-US" w:eastAsia="zh-CN"/>
        </w:rPr>
        <w:t>南林</w:t>
      </w:r>
      <w:r>
        <w:rPr>
          <w:rFonts w:hint="eastAsia" w:ascii="仿宋" w:hAnsi="仿宋" w:eastAsia="仿宋" w:cs="仿宋"/>
          <w:sz w:val="32"/>
          <w:szCs w:val="32"/>
          <w:lang w:eastAsia="zh-CN"/>
        </w:rPr>
        <w:t>省级自然保护区</w:t>
      </w:r>
      <w:r>
        <w:rPr>
          <w:rFonts w:hint="eastAsia" w:ascii="仿宋" w:hAnsi="仿宋" w:eastAsia="仿宋" w:cs="仿宋"/>
          <w:i w:val="0"/>
          <w:iCs w:val="0"/>
          <w:caps w:val="0"/>
          <w:color w:val="000000"/>
          <w:spacing w:val="0"/>
          <w:sz w:val="32"/>
          <w:szCs w:val="32"/>
          <w:shd w:val="clear" w:fill="FFFFFF"/>
        </w:rPr>
        <w:t>生态保护恢复资金</w:t>
      </w:r>
      <w:r>
        <w:rPr>
          <w:rFonts w:hint="eastAsia" w:ascii="仿宋" w:hAnsi="仿宋" w:eastAsia="仿宋" w:cs="仿宋"/>
          <w:i w:val="0"/>
          <w:iCs w:val="0"/>
          <w:caps w:val="0"/>
          <w:color w:val="000000"/>
          <w:spacing w:val="0"/>
          <w:sz w:val="32"/>
          <w:szCs w:val="32"/>
          <w:shd w:val="clear" w:fill="FFFFFF"/>
          <w:lang w:val="en-US" w:eastAsia="zh-CN"/>
        </w:rPr>
        <w:t>项目</w:t>
      </w:r>
      <w:r>
        <w:rPr>
          <w:rFonts w:hint="eastAsia" w:ascii="仿宋" w:hAnsi="仿宋" w:eastAsia="仿宋" w:cs="仿宋"/>
          <w:sz w:val="32"/>
          <w:szCs w:val="32"/>
          <w:lang w:eastAsia="zh-CN"/>
        </w:rPr>
        <w:t>的预算数</w:t>
      </w:r>
      <w:r>
        <w:rPr>
          <w:rFonts w:hint="eastAsia" w:ascii="仿宋" w:hAnsi="仿宋" w:eastAsia="仿宋" w:cs="仿宋"/>
          <w:sz w:val="32"/>
          <w:szCs w:val="32"/>
          <w:lang w:eastAsia="zh-CN" w:bidi="ar"/>
        </w:rPr>
        <w:t>为</w:t>
      </w:r>
      <w:r>
        <w:rPr>
          <w:rFonts w:hint="eastAsia" w:ascii="仿宋" w:hAnsi="仿宋" w:eastAsia="仿宋" w:cs="仿宋"/>
          <w:sz w:val="32"/>
          <w:szCs w:val="32"/>
          <w:lang w:val="en-US" w:eastAsia="zh-CN" w:bidi="ar"/>
        </w:rPr>
        <w:t>32.40</w:t>
      </w:r>
      <w:r>
        <w:rPr>
          <w:rFonts w:hint="eastAsia" w:ascii="仿宋" w:hAnsi="仿宋" w:eastAsia="仿宋" w:cs="仿宋"/>
          <w:sz w:val="32"/>
          <w:szCs w:val="32"/>
          <w:lang w:eastAsia="zh-CN" w:bidi="ar"/>
        </w:rPr>
        <w:t>万元，但执行数为</w:t>
      </w:r>
      <w:r>
        <w:rPr>
          <w:rFonts w:hint="eastAsia" w:ascii="仿宋" w:hAnsi="仿宋" w:eastAsia="仿宋" w:cs="仿宋"/>
          <w:sz w:val="32"/>
          <w:szCs w:val="32"/>
          <w:lang w:val="en-US" w:eastAsia="zh-CN" w:bidi="ar"/>
        </w:rPr>
        <w:t>32.40</w:t>
      </w:r>
      <w:r>
        <w:rPr>
          <w:rFonts w:hint="eastAsia" w:ascii="仿宋" w:hAnsi="仿宋" w:eastAsia="仿宋" w:cs="仿宋"/>
          <w:sz w:val="32"/>
          <w:szCs w:val="32"/>
          <w:lang w:eastAsia="zh-CN" w:bidi="ar"/>
        </w:rPr>
        <w:t>万元，项目节约资金</w:t>
      </w:r>
      <w:r>
        <w:rPr>
          <w:rFonts w:hint="eastAsia" w:ascii="仿宋" w:hAnsi="仿宋" w:eastAsia="仿宋" w:cs="仿宋"/>
          <w:sz w:val="32"/>
          <w:szCs w:val="32"/>
          <w:lang w:val="en-US" w:eastAsia="zh-CN"/>
        </w:rPr>
        <w:t>0</w:t>
      </w:r>
      <w:r>
        <w:rPr>
          <w:rFonts w:hint="eastAsia" w:ascii="仿宋" w:hAnsi="仿宋" w:eastAsia="仿宋" w:cs="仿宋"/>
          <w:sz w:val="32"/>
          <w:szCs w:val="32"/>
          <w:lang w:eastAsia="zh-CN"/>
        </w:rPr>
        <w:t>万元</w:t>
      </w:r>
      <w:r>
        <w:rPr>
          <w:rFonts w:hint="eastAsia" w:ascii="仿宋" w:hAnsi="仿宋" w:eastAsia="仿宋" w:cs="仿宋"/>
          <w:sz w:val="32"/>
          <w:szCs w:val="32"/>
          <w:lang w:eastAsia="zh-CN" w:bidi="ar"/>
        </w:rPr>
        <w:t>。</w:t>
      </w: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项目预算数为</w:t>
      </w:r>
      <w:r>
        <w:rPr>
          <w:rFonts w:hint="eastAsia" w:ascii="仿宋" w:hAnsi="仿宋" w:eastAsia="仿宋" w:cs="仿宋"/>
          <w:sz w:val="32"/>
          <w:szCs w:val="32"/>
          <w:lang w:val="en-US" w:eastAsia="zh-CN"/>
        </w:rPr>
        <w:t>159.86</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159.86</w:t>
      </w:r>
      <w:r>
        <w:rPr>
          <w:rFonts w:hint="eastAsia" w:ascii="仿宋" w:hAnsi="仿宋" w:eastAsia="仿宋" w:cs="仿宋"/>
          <w:sz w:val="32"/>
          <w:szCs w:val="32"/>
          <w:lang w:eastAsia="zh-CN"/>
        </w:rPr>
        <w:t>万元，项目节约</w:t>
      </w:r>
      <w:r>
        <w:rPr>
          <w:rFonts w:hint="eastAsia" w:ascii="仿宋" w:hAnsi="仿宋" w:eastAsia="仿宋" w:cs="仿宋"/>
          <w:sz w:val="32"/>
          <w:szCs w:val="32"/>
          <w:lang w:eastAsia="zh-CN" w:bidi="ar"/>
        </w:rPr>
        <w:t>资金</w:t>
      </w:r>
      <w:r>
        <w:rPr>
          <w:rFonts w:hint="eastAsia" w:ascii="仿宋" w:hAnsi="仿宋" w:eastAsia="仿宋" w:cs="仿宋"/>
          <w:sz w:val="32"/>
          <w:szCs w:val="32"/>
          <w:lang w:val="en-US" w:eastAsia="zh-CN" w:bidi="ar"/>
        </w:rPr>
        <w:t>0</w:t>
      </w:r>
      <w:r>
        <w:rPr>
          <w:rFonts w:hint="eastAsia" w:ascii="仿宋" w:hAnsi="仿宋" w:eastAsia="仿宋" w:cs="仿宋"/>
          <w:sz w:val="32"/>
          <w:szCs w:val="32"/>
          <w:lang w:eastAsia="zh-CN" w:bidi="ar"/>
        </w:rPr>
        <w:t>万，</w:t>
      </w:r>
      <w:r>
        <w:rPr>
          <w:rFonts w:hint="eastAsia" w:ascii="仿宋" w:hAnsi="仿宋" w:eastAsia="仿宋" w:cs="仿宋"/>
          <w:sz w:val="32"/>
          <w:szCs w:val="32"/>
          <w:lang w:eastAsia="zh-CN"/>
        </w:rPr>
        <w:t>生态保护与恢复项目预算数为</w:t>
      </w:r>
      <w:r>
        <w:rPr>
          <w:rFonts w:hint="eastAsia" w:ascii="仿宋" w:hAnsi="仿宋" w:eastAsia="仿宋" w:cs="仿宋"/>
          <w:sz w:val="32"/>
          <w:szCs w:val="32"/>
          <w:lang w:val="en-US" w:eastAsia="zh-CN"/>
        </w:rPr>
        <w:t>55.65</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55.65</w:t>
      </w:r>
      <w:r>
        <w:rPr>
          <w:rFonts w:hint="eastAsia" w:ascii="仿宋" w:hAnsi="仿宋" w:eastAsia="仿宋" w:cs="仿宋"/>
          <w:sz w:val="32"/>
          <w:szCs w:val="32"/>
          <w:lang w:eastAsia="zh-CN"/>
        </w:rPr>
        <w:t>万，项目节约</w:t>
      </w:r>
      <w:r>
        <w:rPr>
          <w:rFonts w:hint="eastAsia" w:ascii="仿宋" w:hAnsi="仿宋" w:eastAsia="仿宋" w:cs="仿宋"/>
          <w:sz w:val="32"/>
          <w:szCs w:val="32"/>
          <w:lang w:eastAsia="zh-CN" w:bidi="ar"/>
        </w:rPr>
        <w:t>资金</w:t>
      </w:r>
      <w:r>
        <w:rPr>
          <w:rFonts w:hint="eastAsia" w:ascii="仿宋" w:hAnsi="仿宋" w:eastAsia="仿宋" w:cs="仿宋"/>
          <w:sz w:val="32"/>
          <w:szCs w:val="32"/>
          <w:lang w:val="en-US" w:eastAsia="zh-CN" w:bidi="ar"/>
        </w:rPr>
        <w:t>0</w:t>
      </w:r>
      <w:r>
        <w:rPr>
          <w:rFonts w:hint="eastAsia" w:ascii="仿宋" w:hAnsi="仿宋" w:eastAsia="仿宋" w:cs="仿宋"/>
          <w:sz w:val="32"/>
          <w:szCs w:val="32"/>
          <w:lang w:eastAsia="zh-CN" w:bidi="ar"/>
        </w:rPr>
        <w:t>万。整体项目成本控制较好。</w:t>
      </w:r>
    </w:p>
    <w:p w14:paraId="22DBCB4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楷体" w:hAnsi="楷体" w:eastAsia="楷体" w:cs="楷体"/>
          <w:b w:val="0"/>
          <w:bCs/>
          <w:color w:val="000000"/>
          <w:sz w:val="32"/>
          <w:szCs w:val="32"/>
          <w:highlight w:val="none"/>
          <w:lang w:val="en-US" w:eastAsia="zh-CN"/>
        </w:rPr>
      </w:pPr>
      <w:r>
        <w:rPr>
          <w:rFonts w:hint="eastAsia" w:ascii="楷体" w:hAnsi="楷体" w:eastAsia="楷体" w:cs="楷体"/>
          <w:b w:val="0"/>
          <w:bCs/>
          <w:color w:val="000000"/>
          <w:sz w:val="32"/>
          <w:szCs w:val="32"/>
          <w:highlight w:val="none"/>
          <w:lang w:eastAsia="zh-CN"/>
        </w:rPr>
        <w:t>（二）</w:t>
      </w:r>
      <w:r>
        <w:rPr>
          <w:rFonts w:hint="eastAsia" w:ascii="楷体" w:hAnsi="楷体" w:eastAsia="楷体" w:cs="楷体"/>
          <w:b w:val="0"/>
          <w:bCs/>
          <w:color w:val="000000"/>
          <w:sz w:val="32"/>
          <w:szCs w:val="32"/>
          <w:highlight w:val="none"/>
        </w:rPr>
        <w:t>部门决算中项目绩效自评结果</w:t>
      </w:r>
    </w:p>
    <w:p w14:paraId="263C7665">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我单位今年在省本级部门决算中反映海南</w:t>
      </w:r>
      <w:r>
        <w:rPr>
          <w:rFonts w:hint="eastAsia" w:ascii="仿宋" w:hAnsi="仿宋" w:eastAsia="仿宋" w:cs="仿宋"/>
          <w:sz w:val="32"/>
          <w:szCs w:val="32"/>
          <w:lang w:val="en-US" w:eastAsia="zh-CN"/>
        </w:rPr>
        <w:t>南林</w:t>
      </w:r>
      <w:r>
        <w:rPr>
          <w:rFonts w:hint="eastAsia" w:ascii="仿宋" w:hAnsi="仿宋" w:eastAsia="仿宋" w:cs="仿宋"/>
          <w:sz w:val="32"/>
          <w:szCs w:val="32"/>
          <w:lang w:eastAsia="zh-CN"/>
        </w:rPr>
        <w:t>省级自然保护区</w:t>
      </w:r>
      <w:r>
        <w:rPr>
          <w:rFonts w:hint="eastAsia" w:ascii="仿宋" w:hAnsi="仿宋" w:eastAsia="仿宋" w:cs="仿宋"/>
          <w:i w:val="0"/>
          <w:iCs w:val="0"/>
          <w:caps w:val="0"/>
          <w:color w:val="000000"/>
          <w:spacing w:val="0"/>
          <w:sz w:val="32"/>
          <w:szCs w:val="32"/>
          <w:shd w:val="clear" w:fill="FFFFFF"/>
        </w:rPr>
        <w:t>生态保护恢复资金</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生态保护与恢复</w:t>
      </w:r>
      <w:r>
        <w:rPr>
          <w:rFonts w:hint="eastAsia" w:ascii="仿宋" w:hAnsi="仿宋" w:eastAsia="仿宋" w:cs="仿宋"/>
          <w:sz w:val="32"/>
          <w:szCs w:val="32"/>
          <w:lang w:eastAsia="zh-CN"/>
        </w:rPr>
        <w:t>、</w:t>
      </w: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绩效自评结果。</w:t>
      </w:r>
    </w:p>
    <w:p w14:paraId="0C82591A">
      <w:pPr>
        <w:spacing w:line="560" w:lineRule="exact"/>
        <w:ind w:left="0" w:firstLine="640" w:firstLineChars="200"/>
        <w:rPr>
          <w:rFonts w:hint="eastAsia" w:ascii="仿宋" w:hAnsi="仿宋" w:eastAsia="仿宋" w:cs="仿宋"/>
          <w:sz w:val="32"/>
          <w:szCs w:val="32"/>
          <w:lang w:val="en-US" w:bidi="ar"/>
        </w:rPr>
      </w:pPr>
      <w:r>
        <w:rPr>
          <w:rFonts w:hint="eastAsia" w:ascii="仿宋" w:hAnsi="仿宋" w:eastAsia="仿宋" w:cs="仿宋"/>
          <w:sz w:val="32"/>
          <w:szCs w:val="32"/>
          <w:lang w:eastAsia="zh-CN"/>
        </w:rPr>
        <w:t>海南</w:t>
      </w:r>
      <w:r>
        <w:rPr>
          <w:rFonts w:hint="eastAsia" w:ascii="仿宋" w:hAnsi="仿宋" w:eastAsia="仿宋" w:cs="仿宋"/>
          <w:sz w:val="32"/>
          <w:szCs w:val="32"/>
          <w:lang w:val="en-US" w:eastAsia="zh-CN"/>
        </w:rPr>
        <w:t>南林</w:t>
      </w:r>
      <w:r>
        <w:rPr>
          <w:rFonts w:hint="eastAsia" w:ascii="仿宋" w:hAnsi="仿宋" w:eastAsia="仿宋" w:cs="仿宋"/>
          <w:sz w:val="32"/>
          <w:szCs w:val="32"/>
          <w:lang w:eastAsia="zh-CN"/>
        </w:rPr>
        <w:t>省级自然保护区</w:t>
      </w:r>
      <w:r>
        <w:rPr>
          <w:rFonts w:hint="eastAsia" w:ascii="仿宋" w:hAnsi="仿宋" w:eastAsia="仿宋" w:cs="仿宋"/>
          <w:i w:val="0"/>
          <w:iCs w:val="0"/>
          <w:caps w:val="0"/>
          <w:color w:val="000000"/>
          <w:spacing w:val="0"/>
          <w:sz w:val="32"/>
          <w:szCs w:val="32"/>
          <w:shd w:val="clear" w:fill="FFFFFF"/>
        </w:rPr>
        <w:t>生态保护恢复资金</w:t>
      </w:r>
      <w:r>
        <w:rPr>
          <w:rFonts w:hint="eastAsia" w:ascii="仿宋" w:hAnsi="仿宋" w:eastAsia="仿宋" w:cs="仿宋"/>
          <w:sz w:val="32"/>
          <w:szCs w:val="32"/>
          <w:lang w:eastAsia="zh-CN"/>
        </w:rPr>
        <w:t>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rPr>
        <w:t>55.65</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bidi="ar"/>
        </w:rPr>
        <w:t>55.65</w:t>
      </w:r>
      <w:r>
        <w:rPr>
          <w:rFonts w:hint="eastAsia" w:ascii="仿宋" w:hAnsi="仿宋" w:eastAsia="仿宋" w:cs="仿宋"/>
          <w:sz w:val="32"/>
          <w:szCs w:val="32"/>
          <w:lang w:eastAsia="zh-CN" w:bidi="ar"/>
        </w:rPr>
        <w:t>万元</w:t>
      </w:r>
      <w:r>
        <w:rPr>
          <w:rFonts w:hint="eastAsia" w:ascii="仿宋" w:hAnsi="仿宋" w:eastAsia="仿宋" w:cs="仿宋"/>
          <w:sz w:val="32"/>
          <w:szCs w:val="32"/>
          <w:lang w:eastAsia="zh-CN"/>
        </w:rPr>
        <w:t>，完成预算的</w:t>
      </w:r>
      <w:r>
        <w:rPr>
          <w:rFonts w:hint="eastAsia" w:ascii="仿宋" w:hAnsi="仿宋" w:eastAsia="仿宋" w:cs="仿宋"/>
          <w:sz w:val="32"/>
          <w:szCs w:val="32"/>
          <w:lang w:val="en-US" w:eastAsia="zh-CN"/>
        </w:rPr>
        <w:t>100</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。项目绩效目标完成情况：完成了</w:t>
      </w:r>
      <w:r>
        <w:rPr>
          <w:rFonts w:hint="eastAsia" w:ascii="仿宋" w:hAnsi="仿宋" w:eastAsia="仿宋" w:cs="仿宋"/>
          <w:sz w:val="32"/>
          <w:szCs w:val="32"/>
          <w:lang w:val="en-US" w:eastAsia="zh-CN"/>
        </w:rPr>
        <w:t>南林</w:t>
      </w:r>
      <w:r>
        <w:rPr>
          <w:rFonts w:hint="eastAsia" w:ascii="仿宋" w:hAnsi="仿宋" w:eastAsia="仿宋" w:cs="仿宋"/>
          <w:sz w:val="32"/>
          <w:szCs w:val="32"/>
          <w:lang w:eastAsia="zh-CN"/>
        </w:rPr>
        <w:t>自然保护区保护</w:t>
      </w:r>
      <w:r>
        <w:rPr>
          <w:rFonts w:hint="eastAsia" w:ascii="仿宋" w:hAnsi="仿宋" w:eastAsia="仿宋" w:cs="仿宋"/>
          <w:i w:val="0"/>
          <w:iCs w:val="0"/>
          <w:caps w:val="0"/>
          <w:color w:val="000000"/>
          <w:spacing w:val="0"/>
          <w:sz w:val="32"/>
          <w:szCs w:val="32"/>
          <w:shd w:val="clear" w:fill="FFFFFF"/>
        </w:rPr>
        <w:t>生态保护恢复</w:t>
      </w:r>
      <w:r>
        <w:rPr>
          <w:rFonts w:hint="eastAsia" w:ascii="仿宋" w:hAnsi="仿宋" w:eastAsia="仿宋" w:cs="仿宋"/>
          <w:sz w:val="32"/>
          <w:szCs w:val="32"/>
          <w:lang w:eastAsia="zh-CN"/>
        </w:rPr>
        <w:t>；</w:t>
      </w:r>
      <w:r>
        <w:rPr>
          <w:rFonts w:hint="eastAsia" w:ascii="仿宋" w:hAnsi="仿宋" w:eastAsia="仿宋" w:cs="仿宋"/>
          <w:sz w:val="32"/>
          <w:szCs w:val="32"/>
          <w:lang w:eastAsia="zh-CN" w:bidi="ar"/>
        </w:rPr>
        <w:t>本项目完成后规范了保护区的建设和管理水平，促进了保护区管护健康可持续发展。</w:t>
      </w:r>
    </w:p>
    <w:p w14:paraId="1C3DFB9B">
      <w:pPr>
        <w:ind w:left="0" w:firstLine="640" w:firstLineChars="200"/>
        <w:rPr>
          <w:rFonts w:hint="eastAsia" w:ascii="仿宋" w:hAnsi="仿宋" w:eastAsia="仿宋" w:cs="仿宋"/>
          <w:sz w:val="32"/>
          <w:szCs w:val="32"/>
          <w:lang w:val="en-US"/>
        </w:rPr>
      </w:pPr>
      <w:r>
        <w:rPr>
          <w:rFonts w:hint="eastAsia" w:ascii="仿宋" w:hAnsi="仿宋" w:eastAsia="仿宋" w:cs="仿宋"/>
          <w:i w:val="0"/>
          <w:iCs w:val="0"/>
          <w:caps w:val="0"/>
          <w:color w:val="000000"/>
          <w:spacing w:val="0"/>
          <w:sz w:val="32"/>
          <w:szCs w:val="32"/>
          <w:shd w:val="clear" w:fill="FFFFFF"/>
        </w:rPr>
        <w:t>林业改革发展资金</w:t>
      </w:r>
      <w:r>
        <w:rPr>
          <w:rFonts w:hint="eastAsia" w:ascii="仿宋" w:hAnsi="仿宋" w:eastAsia="仿宋" w:cs="仿宋"/>
          <w:sz w:val="32"/>
          <w:szCs w:val="32"/>
          <w:lang w:eastAsia="zh-CN"/>
        </w:rPr>
        <w:t>项目绩效自评综述：根据年初设定的绩效目标，项目自评得分为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rPr>
        <w:t>159.86</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rPr>
        <w:t>159.86</w:t>
      </w:r>
      <w:r>
        <w:rPr>
          <w:rFonts w:hint="eastAsia" w:ascii="仿宋" w:hAnsi="仿宋" w:eastAsia="仿宋" w:cs="仿宋"/>
          <w:sz w:val="32"/>
          <w:szCs w:val="32"/>
          <w:lang w:eastAsia="zh-CN"/>
        </w:rPr>
        <w:t>万元，完成预算的</w:t>
      </w:r>
      <w:r>
        <w:rPr>
          <w:rFonts w:hint="eastAsia" w:ascii="仿宋" w:hAnsi="仿宋" w:eastAsia="仿宋" w:cs="仿宋"/>
          <w:sz w:val="32"/>
          <w:szCs w:val="32"/>
          <w:lang w:val="en-US" w:eastAsia="zh-CN"/>
        </w:rPr>
        <w:t>100</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。项目绩效目标完成情况：一是本项目批复财政资金</w:t>
      </w:r>
      <w:r>
        <w:rPr>
          <w:rFonts w:hint="eastAsia" w:ascii="仿宋" w:hAnsi="仿宋" w:eastAsia="仿宋" w:cs="仿宋"/>
          <w:sz w:val="32"/>
          <w:szCs w:val="32"/>
          <w:lang w:val="en-US" w:eastAsia="zh-CN"/>
        </w:rPr>
        <w:t>159.86</w:t>
      </w:r>
      <w:r>
        <w:rPr>
          <w:rFonts w:hint="eastAsia" w:ascii="仿宋" w:hAnsi="仿宋" w:eastAsia="仿宋" w:cs="仿宋"/>
          <w:sz w:val="32"/>
          <w:szCs w:val="32"/>
          <w:lang w:eastAsia="zh-CN"/>
        </w:rPr>
        <w:t>万元，项目实施按照预算控制支出；二是制定的各项绩效指标产出达到预期。发现的主要问题及原因：一是绩效目标完成率</w:t>
      </w:r>
      <w:r>
        <w:rPr>
          <w:rFonts w:hint="eastAsia" w:ascii="仿宋" w:hAnsi="仿宋" w:eastAsia="仿宋" w:cs="仿宋"/>
          <w:sz w:val="32"/>
          <w:szCs w:val="32"/>
          <w:lang w:val="en-US" w:eastAsia="zh-CN"/>
        </w:rPr>
        <w:t>100</w:t>
      </w:r>
      <w:r>
        <w:rPr>
          <w:rFonts w:hint="eastAsia" w:ascii="仿宋" w:hAnsi="仿宋" w:eastAsia="仿宋" w:cs="仿宋"/>
          <w:sz w:val="32"/>
          <w:szCs w:val="32"/>
          <w:lang w:val="en-US"/>
        </w:rPr>
        <w:t>%</w:t>
      </w:r>
      <w:r>
        <w:rPr>
          <w:rFonts w:hint="eastAsia" w:ascii="仿宋" w:hAnsi="仿宋" w:eastAsia="仿宋" w:cs="仿宋"/>
          <w:sz w:val="32"/>
          <w:szCs w:val="32"/>
          <w:lang w:eastAsia="zh-CN"/>
        </w:rPr>
        <w:t>。</w:t>
      </w:r>
    </w:p>
    <w:p w14:paraId="1BB9C3EA">
      <w:pPr>
        <w:spacing w:line="560" w:lineRule="exact"/>
        <w:ind w:left="0" w:firstLine="640" w:firstLineChars="200"/>
        <w:rPr>
          <w:rFonts w:hint="eastAsia" w:ascii="仿宋" w:hAnsi="仿宋" w:eastAsia="仿宋" w:cs="仿宋"/>
          <w:sz w:val="32"/>
          <w:szCs w:val="32"/>
          <w:lang w:eastAsia="zh-CN"/>
        </w:rPr>
      </w:pPr>
      <w:r>
        <w:rPr>
          <w:rFonts w:hint="eastAsia" w:ascii="仿宋" w:hAnsi="仿宋" w:eastAsia="仿宋" w:cs="仿宋"/>
          <w:sz w:val="32"/>
          <w:szCs w:val="32"/>
          <w:lang w:eastAsia="zh-CN"/>
        </w:rPr>
        <w:t>海南</w:t>
      </w:r>
      <w:r>
        <w:rPr>
          <w:rFonts w:hint="eastAsia" w:ascii="仿宋" w:hAnsi="仿宋" w:eastAsia="仿宋" w:cs="仿宋"/>
          <w:sz w:val="32"/>
          <w:szCs w:val="32"/>
          <w:lang w:val="en-US" w:eastAsia="zh-CN"/>
        </w:rPr>
        <w:t>南林</w:t>
      </w:r>
      <w:r>
        <w:rPr>
          <w:rFonts w:hint="eastAsia" w:ascii="仿宋" w:hAnsi="仿宋" w:eastAsia="仿宋" w:cs="仿宋"/>
          <w:sz w:val="32"/>
          <w:szCs w:val="32"/>
          <w:lang w:eastAsia="zh-CN"/>
        </w:rPr>
        <w:t>省级自然保护区</w:t>
      </w:r>
      <w:r>
        <w:rPr>
          <w:rFonts w:hint="eastAsia" w:ascii="仿宋" w:hAnsi="仿宋" w:eastAsia="仿宋" w:cs="仿宋"/>
          <w:i w:val="0"/>
          <w:iCs w:val="0"/>
          <w:caps w:val="0"/>
          <w:color w:val="000000"/>
          <w:spacing w:val="0"/>
          <w:sz w:val="32"/>
          <w:szCs w:val="32"/>
          <w:shd w:val="clear" w:fill="FFFFFF"/>
        </w:rPr>
        <w:t>生态保护与恢复</w:t>
      </w:r>
      <w:r>
        <w:rPr>
          <w:rFonts w:hint="eastAsia" w:ascii="仿宋" w:hAnsi="仿宋" w:eastAsia="仿宋" w:cs="仿宋"/>
          <w:sz w:val="32"/>
          <w:szCs w:val="32"/>
          <w:lang w:eastAsia="zh-CN"/>
        </w:rPr>
        <w:t>及项目绩效自评综述：根据年初设定的绩效目标，项目自评得分为</w:t>
      </w:r>
      <w:r>
        <w:rPr>
          <w:rFonts w:hint="eastAsia" w:ascii="仿宋" w:hAnsi="仿宋" w:eastAsia="仿宋" w:cs="仿宋"/>
          <w:sz w:val="32"/>
          <w:szCs w:val="32"/>
          <w:lang w:val="en-US"/>
        </w:rPr>
        <w:t>93</w:t>
      </w:r>
      <w:r>
        <w:rPr>
          <w:rFonts w:hint="eastAsia" w:ascii="仿宋" w:hAnsi="仿宋" w:eastAsia="仿宋" w:cs="仿宋"/>
          <w:sz w:val="32"/>
          <w:szCs w:val="32"/>
          <w:lang w:eastAsia="zh-CN"/>
        </w:rPr>
        <w:t>分。全年预算数为</w:t>
      </w:r>
      <w:r>
        <w:rPr>
          <w:rFonts w:hint="eastAsia" w:ascii="仿宋" w:hAnsi="仿宋" w:eastAsia="仿宋" w:cs="仿宋"/>
          <w:sz w:val="32"/>
          <w:szCs w:val="32"/>
          <w:lang w:val="en-US" w:eastAsia="zh-CN" w:bidi="ar"/>
        </w:rPr>
        <w:t>32.40</w:t>
      </w:r>
      <w:r>
        <w:rPr>
          <w:rFonts w:hint="eastAsia" w:ascii="仿宋" w:hAnsi="仿宋" w:eastAsia="仿宋" w:cs="仿宋"/>
          <w:sz w:val="32"/>
          <w:szCs w:val="32"/>
          <w:lang w:eastAsia="zh-CN"/>
        </w:rPr>
        <w:t>万元，执行数为</w:t>
      </w:r>
      <w:r>
        <w:rPr>
          <w:rFonts w:hint="eastAsia" w:ascii="仿宋" w:hAnsi="仿宋" w:eastAsia="仿宋" w:cs="仿宋"/>
          <w:sz w:val="32"/>
          <w:szCs w:val="32"/>
          <w:lang w:val="en-US" w:eastAsia="zh-CN" w:bidi="ar"/>
        </w:rPr>
        <w:t>32.40</w:t>
      </w:r>
      <w:r>
        <w:rPr>
          <w:rFonts w:hint="eastAsia" w:ascii="仿宋" w:hAnsi="仿宋" w:eastAsia="仿宋" w:cs="仿宋"/>
          <w:sz w:val="32"/>
          <w:szCs w:val="32"/>
          <w:lang w:eastAsia="zh-CN" w:bidi="ar"/>
        </w:rPr>
        <w:t>万元</w:t>
      </w:r>
      <w:r>
        <w:rPr>
          <w:rFonts w:hint="eastAsia" w:ascii="仿宋" w:hAnsi="仿宋" w:eastAsia="仿宋" w:cs="仿宋"/>
          <w:sz w:val="32"/>
          <w:szCs w:val="32"/>
          <w:lang w:eastAsia="zh-CN"/>
        </w:rPr>
        <w:t>，完成预算的</w:t>
      </w:r>
      <w:r>
        <w:rPr>
          <w:rFonts w:hint="eastAsia" w:ascii="仿宋" w:hAnsi="仿宋" w:eastAsia="仿宋" w:cs="仿宋"/>
          <w:sz w:val="32"/>
          <w:szCs w:val="32"/>
          <w:lang w:val="en-US" w:eastAsia="zh-CN"/>
        </w:rPr>
        <w:t>100</w:t>
      </w:r>
      <w:r>
        <w:rPr>
          <w:rFonts w:hint="eastAsia" w:ascii="仿宋" w:hAnsi="仿宋" w:eastAsia="仿宋" w:cs="仿宋"/>
          <w:sz w:val="32"/>
          <w:szCs w:val="32"/>
          <w:lang w:val="en-US"/>
        </w:rPr>
        <w:t>%</w:t>
      </w:r>
      <w:r>
        <w:rPr>
          <w:rFonts w:hint="eastAsia" w:ascii="仿宋" w:hAnsi="仿宋" w:eastAsia="仿宋" w:cs="仿宋"/>
          <w:sz w:val="32"/>
          <w:szCs w:val="32"/>
          <w:lang w:eastAsia="zh-CN"/>
        </w:rPr>
        <w:t>。项目绩效目标完成情况：完成了自然保护区保护与恢复；</w:t>
      </w:r>
      <w:r>
        <w:rPr>
          <w:rFonts w:hint="eastAsia" w:ascii="仿宋" w:hAnsi="仿宋" w:eastAsia="仿宋" w:cs="仿宋"/>
          <w:sz w:val="32"/>
          <w:szCs w:val="32"/>
          <w:lang w:eastAsia="zh-CN" w:bidi="ar"/>
        </w:rPr>
        <w:t>本项目完成后规范了保护区的建设和管理水平，促进了保护区管护健康可持续发展。</w:t>
      </w:r>
    </w:p>
    <w:p w14:paraId="6241929A">
      <w:pPr>
        <w:ind w:left="0" w:firstLine="640" w:firstLineChars="200"/>
        <w:rPr>
          <w:rFonts w:hint="eastAsia" w:ascii="仿宋" w:hAnsi="仿宋" w:eastAsia="仿宋" w:cs="仿宋"/>
          <w:sz w:val="32"/>
          <w:szCs w:val="32"/>
          <w:lang w:val="en-US"/>
        </w:rPr>
      </w:pPr>
      <w:r>
        <w:rPr>
          <w:rFonts w:hint="eastAsia" w:ascii="仿宋" w:hAnsi="仿宋" w:eastAsia="仿宋" w:cs="仿宋"/>
          <w:sz w:val="32"/>
          <w:szCs w:val="32"/>
          <w:lang w:eastAsia="zh-CN"/>
        </w:rPr>
        <w:t>项目完成后生态管护区域生态环境得到明显改善，林地涵养水源、保持水土能力不断增强，自然灾害发生率和强度得到一定程度控制；实行生态效益补偿保障，调动了爱林护林的积极性，促进林区的发展；严格公益林管护，有效的保护了森林资源，提高了森林质量，森林资源的增长，生态功能的提升，生态效益补偿和公益林管护在其中发挥了重要作用。</w:t>
      </w:r>
    </w:p>
    <w:p w14:paraId="67AB64E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（三）</w:t>
      </w:r>
      <w:r>
        <w:rPr>
          <w:rFonts w:hint="eastAsia" w:ascii="楷体" w:hAnsi="楷体" w:eastAsia="楷体" w:cs="楷体"/>
          <w:b w:val="0"/>
          <w:bCs/>
          <w:color w:val="000000"/>
          <w:sz w:val="32"/>
          <w:szCs w:val="32"/>
          <w:highlight w:val="none"/>
          <w:lang w:val="en-US"/>
        </w:rPr>
        <w:t>部门评价结果</w:t>
      </w:r>
      <w:r>
        <w:rPr>
          <w:rFonts w:hint="eastAsia" w:ascii="楷体" w:hAnsi="楷体" w:eastAsia="楷体" w:cs="楷体"/>
          <w:b w:val="0"/>
          <w:bCs/>
          <w:color w:val="000000"/>
          <w:sz w:val="32"/>
          <w:szCs w:val="32"/>
          <w:highlight w:val="none"/>
          <w:lang w:val="en-US" w:eastAsia="zh-CN"/>
        </w:rPr>
        <w:t>（预算部门填写，部门所属单位不需填写）</w:t>
      </w:r>
      <w:r>
        <w:rPr>
          <w:rFonts w:hint="eastAsia" w:ascii="楷体" w:hAnsi="楷体" w:eastAsia="楷体" w:cs="楷体"/>
          <w:b w:val="0"/>
          <w:bCs/>
          <w:color w:val="000000"/>
          <w:sz w:val="32"/>
          <w:szCs w:val="32"/>
          <w:highlight w:val="none"/>
          <w:u w:val="none"/>
        </w:rPr>
        <w:t>。</w:t>
      </w:r>
    </w:p>
    <w:p w14:paraId="3FEEB01B">
      <w:pPr>
        <w:spacing w:line="578" w:lineRule="exact"/>
        <w:ind w:left="0" w:firstLine="640" w:firstLineChars="200"/>
        <w:rPr>
          <w:rFonts w:hint="eastAsia" w:ascii="仿宋" w:hAnsi="仿宋" w:eastAsia="仿宋" w:cs="楷体"/>
          <w:bCs/>
          <w:sz w:val="32"/>
          <w:szCs w:val="32"/>
          <w:lang w:val="en-US"/>
        </w:rPr>
      </w:pPr>
      <w:r>
        <w:rPr>
          <w:rFonts w:hint="eastAsia" w:ascii="仿宋" w:hAnsi="仿宋" w:eastAsia="仿宋" w:cs="楷体"/>
          <w:bCs/>
          <w:sz w:val="32"/>
          <w:szCs w:val="32"/>
          <w:lang w:eastAsia="zh-CN"/>
        </w:rPr>
        <w:t>部门评价项目绩效评价结果：没有</w:t>
      </w:r>
    </w:p>
    <w:p w14:paraId="2D713311">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 w:val="0"/>
          <w:bCs/>
          <w:color w:val="000000"/>
          <w:sz w:val="32"/>
          <w:szCs w:val="32"/>
          <w:highlight w:val="none"/>
        </w:rPr>
      </w:pPr>
      <w:r>
        <w:rPr>
          <w:rFonts w:hint="eastAsia" w:ascii="楷体" w:hAnsi="楷体" w:eastAsia="楷体" w:cs="楷体"/>
          <w:b w:val="0"/>
          <w:bCs/>
          <w:color w:val="000000"/>
          <w:sz w:val="32"/>
          <w:szCs w:val="32"/>
          <w:highlight w:val="none"/>
          <w:lang w:eastAsia="zh-CN"/>
        </w:rPr>
        <w:t>（四）财政评价结果</w:t>
      </w:r>
      <w:r>
        <w:rPr>
          <w:rFonts w:hint="eastAsia" w:ascii="楷体" w:hAnsi="楷体" w:eastAsia="楷体" w:cs="楷体"/>
          <w:b w:val="0"/>
          <w:bCs/>
          <w:color w:val="000000"/>
          <w:sz w:val="32"/>
          <w:szCs w:val="32"/>
          <w:highlight w:val="none"/>
        </w:rPr>
        <w:t>（如有）。</w:t>
      </w:r>
    </w:p>
    <w:p w14:paraId="4D79BE8E">
      <w:pPr>
        <w:spacing w:line="578" w:lineRule="exact"/>
        <w:rPr>
          <w:rFonts w:hint="eastAsia" w:ascii="仿宋" w:hAnsi="仿宋" w:eastAsia="仿宋" w:cs="楷体"/>
          <w:bCs/>
          <w:sz w:val="32"/>
          <w:szCs w:val="32"/>
          <w:lang w:val="en-US"/>
        </w:rPr>
      </w:pPr>
      <w:r>
        <w:rPr>
          <w:rFonts w:hint="eastAsia" w:ascii="仿宋" w:hAnsi="仿宋" w:eastAsia="仿宋" w:cs="楷体"/>
          <w:bCs/>
          <w:sz w:val="32"/>
          <w:szCs w:val="32"/>
          <w:lang w:eastAsia="zh-CN"/>
        </w:rPr>
        <w:t>财政评价项目绩效评价结果：没有</w:t>
      </w:r>
    </w:p>
    <w:p w14:paraId="1533EB0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bCs/>
          <w:color w:val="000000"/>
          <w:sz w:val="32"/>
          <w:szCs w:val="32"/>
          <w:highlight w:val="none"/>
        </w:rPr>
      </w:pPr>
      <w:r>
        <w:rPr>
          <w:rFonts w:hint="eastAsia" w:ascii="黑体" w:hAnsi="黑体" w:eastAsia="黑体" w:cs="黑体"/>
          <w:bCs/>
          <w:color w:val="000000"/>
          <w:sz w:val="32"/>
          <w:szCs w:val="32"/>
          <w:highlight w:val="none"/>
        </w:rPr>
        <w:t>十一、其他重要事项情况说明</w:t>
      </w:r>
    </w:p>
    <w:p w14:paraId="1BDB1E04">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98" w:name="_Toc18325_WPSOffice_Level2"/>
      <w:bookmarkStart w:id="99" w:name="_Toc32639_WPSOffice_Level2"/>
      <w:bookmarkStart w:id="100" w:name="_Toc15262_WPSOffice_Level2"/>
      <w:bookmarkStart w:id="101" w:name="_Toc23598_WPSOffice_Level2"/>
      <w:bookmarkStart w:id="102" w:name="_Toc5978_WPSOffice_Level2"/>
      <w:bookmarkStart w:id="103" w:name="_Toc15565_WPSOffice_Level2"/>
      <w:r>
        <w:rPr>
          <w:rFonts w:hint="eastAsia" w:ascii="楷体" w:hAnsi="楷体" w:eastAsia="楷体" w:cs="楷体"/>
          <w:bCs/>
          <w:color w:val="000000"/>
          <w:sz w:val="32"/>
          <w:szCs w:val="32"/>
          <w:highlight w:val="none"/>
        </w:rPr>
        <w:t>（一）机关运行经费支出情况。</w:t>
      </w:r>
      <w:bookmarkEnd w:id="98"/>
      <w:bookmarkEnd w:id="99"/>
      <w:bookmarkEnd w:id="100"/>
      <w:bookmarkEnd w:id="101"/>
      <w:bookmarkEnd w:id="102"/>
      <w:bookmarkEnd w:id="103"/>
    </w:p>
    <w:p w14:paraId="6B5F64D9">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2022年度</w:t>
      </w:r>
      <w:r>
        <w:rPr>
          <w:rFonts w:hint="eastAsia" w:ascii="仿宋_GB2312" w:hAnsi="ˎ̥" w:eastAsia="仿宋_GB2312"/>
          <w:color w:val="000000"/>
          <w:sz w:val="32"/>
          <w:szCs w:val="32"/>
          <w:highlight w:val="none"/>
          <w:lang w:eastAsia="zh-CN"/>
        </w:rPr>
        <w:t>海南</w:t>
      </w:r>
      <w:r>
        <w:rPr>
          <w:rFonts w:hint="eastAsia" w:ascii="仿宋_GB2312" w:hAnsi="ˎ̥" w:eastAsia="仿宋_GB2312"/>
          <w:color w:val="000000"/>
          <w:sz w:val="32"/>
          <w:szCs w:val="32"/>
          <w:highlight w:val="none"/>
          <w:lang w:val="en-US" w:eastAsia="zh-CN"/>
        </w:rPr>
        <w:t>南林</w:t>
      </w:r>
      <w:r>
        <w:rPr>
          <w:rFonts w:hint="eastAsia" w:ascii="仿宋_GB2312" w:hAnsi="ˎ̥" w:eastAsia="仿宋_GB2312"/>
          <w:color w:val="000000"/>
          <w:sz w:val="32"/>
          <w:szCs w:val="32"/>
          <w:highlight w:val="none"/>
          <w:lang w:eastAsia="zh-CN"/>
        </w:rPr>
        <w:t>省级自然保护区管理站</w:t>
      </w:r>
      <w:r>
        <w:rPr>
          <w:rFonts w:hint="eastAsia" w:ascii="仿宋_GB2312" w:hAnsi="ˎ̥" w:eastAsia="仿宋_GB2312"/>
          <w:color w:val="000000"/>
          <w:sz w:val="32"/>
          <w:szCs w:val="32"/>
          <w:highlight w:val="none"/>
        </w:rPr>
        <w:t>机关运行经费</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6439D31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lang w:val="en-US" w:eastAsia="zh-CN"/>
        </w:rPr>
      </w:pPr>
    </w:p>
    <w:p w14:paraId="10981C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104" w:name="_Toc3131_WPSOffice_Level2"/>
      <w:bookmarkStart w:id="105" w:name="_Toc32689_WPSOffice_Level2"/>
      <w:bookmarkStart w:id="106" w:name="_Toc23966_WPSOffice_Level2"/>
      <w:bookmarkStart w:id="107" w:name="_Toc30383_WPSOffice_Level2"/>
      <w:bookmarkStart w:id="108" w:name="_Toc13084_WPSOffice_Level2"/>
      <w:bookmarkStart w:id="109" w:name="_Toc25333_WPSOffice_Level2"/>
      <w:r>
        <w:rPr>
          <w:rFonts w:hint="eastAsia" w:ascii="楷体" w:hAnsi="楷体" w:eastAsia="楷体" w:cs="楷体"/>
          <w:bCs/>
          <w:color w:val="000000"/>
          <w:sz w:val="32"/>
          <w:szCs w:val="32"/>
          <w:highlight w:val="none"/>
        </w:rPr>
        <w:t>（二）政府采购支出情况。</w:t>
      </w:r>
      <w:bookmarkEnd w:id="104"/>
      <w:bookmarkEnd w:id="105"/>
      <w:bookmarkEnd w:id="106"/>
      <w:bookmarkEnd w:id="107"/>
      <w:bookmarkEnd w:id="108"/>
      <w:bookmarkEnd w:id="109"/>
    </w:p>
    <w:p w14:paraId="4BF155F2">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w:t>
      </w:r>
      <w:r>
        <w:rPr>
          <w:rFonts w:hint="eastAsia" w:ascii="仿宋_GB2312" w:hAnsi="ˎ̥" w:eastAsia="仿宋_GB2312"/>
          <w:color w:val="000000"/>
          <w:sz w:val="32"/>
          <w:szCs w:val="32"/>
          <w:highlight w:val="none"/>
          <w:lang w:eastAsia="zh-CN"/>
        </w:rPr>
        <w:t>海南</w:t>
      </w:r>
      <w:r>
        <w:rPr>
          <w:rFonts w:hint="eastAsia" w:ascii="仿宋_GB2312" w:hAnsi="ˎ̥" w:eastAsia="仿宋_GB2312"/>
          <w:color w:val="000000"/>
          <w:sz w:val="32"/>
          <w:szCs w:val="32"/>
          <w:highlight w:val="none"/>
          <w:lang w:val="en-US" w:eastAsia="zh-CN"/>
        </w:rPr>
        <w:t>南林</w:t>
      </w:r>
      <w:r>
        <w:rPr>
          <w:rFonts w:hint="eastAsia" w:ascii="仿宋_GB2312" w:hAnsi="ˎ̥" w:eastAsia="仿宋_GB2312"/>
          <w:color w:val="000000"/>
          <w:sz w:val="32"/>
          <w:szCs w:val="32"/>
          <w:highlight w:val="none"/>
          <w:lang w:eastAsia="zh-CN"/>
        </w:rPr>
        <w:t>省级自然保护区管理站</w:t>
      </w:r>
      <w:r>
        <w:rPr>
          <w:rFonts w:hint="eastAsia" w:ascii="仿宋_GB2312" w:hAnsi="ˎ̥" w:eastAsia="仿宋_GB2312"/>
          <w:color w:val="000000"/>
          <w:sz w:val="32"/>
          <w:szCs w:val="32"/>
          <w:highlight w:val="none"/>
        </w:rPr>
        <w:t>政府采购支出总额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万元，其中：政府采购货物支出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万元、政府采购工程支出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万元、政府采购服务支出</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万元。授予中小企业合同金额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万元，占政府采购支出总额的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%，其中：授予小微企业合同金额</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万元，占</w:t>
      </w:r>
      <w:r>
        <w:rPr>
          <w:rFonts w:hint="eastAsia" w:ascii="仿宋_GB2312" w:hAnsi="仿宋_GB2312" w:eastAsia="仿宋_GB2312" w:cs="仿宋_GB2312"/>
          <w:color w:val="000000"/>
          <w:kern w:val="0"/>
          <w:sz w:val="32"/>
          <w:szCs w:val="32"/>
          <w:highlight w:val="none"/>
          <w:lang w:bidi="ar"/>
        </w:rPr>
        <w:t>授予中小企业合同金额</w:t>
      </w:r>
      <w:r>
        <w:rPr>
          <w:rFonts w:hint="eastAsia" w:ascii="仿宋_GB2312" w:hAnsi="仿宋_GB2312" w:eastAsia="仿宋_GB2312" w:cs="仿宋_GB2312"/>
          <w:color w:val="000000"/>
          <w:sz w:val="32"/>
          <w:szCs w:val="32"/>
          <w:highlight w:val="none"/>
        </w:rPr>
        <w:t>的</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w:t>
      </w:r>
    </w:p>
    <w:p w14:paraId="720004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上述政府采购支出相关数字取自202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年度部门决算报表F03表《机构运行信息表》，授予中小企业和小微企业合同金额由各部门查阅本部门相关资料填写。）</w:t>
      </w:r>
    </w:p>
    <w:p w14:paraId="4CA34E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bCs/>
          <w:color w:val="000000"/>
          <w:sz w:val="32"/>
          <w:szCs w:val="32"/>
          <w:highlight w:val="none"/>
        </w:rPr>
      </w:pPr>
      <w:bookmarkStart w:id="110" w:name="_Toc15129_WPSOffice_Level2"/>
      <w:bookmarkStart w:id="111" w:name="_Toc6016_WPSOffice_Level2"/>
      <w:bookmarkStart w:id="112" w:name="_Toc527_WPSOffice_Level2"/>
      <w:bookmarkStart w:id="113" w:name="_Toc10902_WPSOffice_Level2"/>
      <w:bookmarkStart w:id="114" w:name="_Toc29584_WPSOffice_Level2"/>
      <w:bookmarkStart w:id="115" w:name="_Toc19989_WPSOffice_Level2"/>
      <w:r>
        <w:rPr>
          <w:rFonts w:hint="eastAsia" w:ascii="楷体" w:hAnsi="楷体" w:eastAsia="楷体" w:cs="楷体"/>
          <w:bCs/>
          <w:color w:val="000000"/>
          <w:sz w:val="32"/>
          <w:szCs w:val="32"/>
          <w:highlight w:val="none"/>
        </w:rPr>
        <w:t>（三）国有资产占用情况。</w:t>
      </w:r>
      <w:bookmarkEnd w:id="110"/>
      <w:bookmarkEnd w:id="111"/>
      <w:bookmarkEnd w:id="112"/>
      <w:bookmarkEnd w:id="113"/>
      <w:bookmarkEnd w:id="114"/>
      <w:bookmarkEnd w:id="115"/>
    </w:p>
    <w:p w14:paraId="0D805E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bCs/>
          <w:color w:val="000000"/>
          <w:sz w:val="32"/>
          <w:szCs w:val="32"/>
          <w:highlight w:val="none"/>
        </w:rPr>
        <w:t>截至202</w:t>
      </w:r>
      <w:r>
        <w:rPr>
          <w:rFonts w:hint="eastAsia" w:ascii="仿宋_GB2312" w:hAnsi="ˎ̥" w:eastAsia="仿宋_GB2312"/>
          <w:bCs/>
          <w:color w:val="000000"/>
          <w:sz w:val="32"/>
          <w:szCs w:val="32"/>
          <w:highlight w:val="none"/>
          <w:lang w:val="en-US" w:eastAsia="zh-CN"/>
        </w:rPr>
        <w:t>3</w:t>
      </w:r>
      <w:r>
        <w:rPr>
          <w:rFonts w:hint="eastAsia" w:ascii="仿宋_GB2312" w:hAnsi="ˎ̥" w:eastAsia="仿宋_GB2312"/>
          <w:bCs/>
          <w:color w:val="000000"/>
          <w:sz w:val="32"/>
          <w:szCs w:val="32"/>
          <w:highlight w:val="none"/>
        </w:rPr>
        <w:t>年12月31日，本部门拥有</w:t>
      </w:r>
      <w:r>
        <w:rPr>
          <w:rFonts w:hint="eastAsia" w:ascii="仿宋_GB2312" w:hAnsi="ˎ̥" w:eastAsia="仿宋_GB2312"/>
          <w:color w:val="000000"/>
          <w:sz w:val="32"/>
          <w:szCs w:val="32"/>
          <w:highlight w:val="none"/>
        </w:rPr>
        <w:t>房屋面积</w:t>
      </w:r>
      <w:r>
        <w:rPr>
          <w:rFonts w:hint="eastAsia" w:ascii="仿宋_GB2312" w:hAnsi="ˎ̥" w:eastAsia="仿宋_GB2312"/>
          <w:color w:val="000000"/>
          <w:sz w:val="32"/>
          <w:szCs w:val="32"/>
          <w:highlight w:val="none"/>
          <w:lang w:val="en-US" w:eastAsia="zh-CN"/>
        </w:rPr>
        <w:t>980</w:t>
      </w:r>
      <w:r>
        <w:rPr>
          <w:rFonts w:hint="eastAsia" w:ascii="仿宋_GB2312" w:hAnsi="ˎ̥" w:eastAsia="仿宋_GB2312"/>
          <w:color w:val="000000"/>
          <w:sz w:val="32"/>
          <w:szCs w:val="32"/>
          <w:highlight w:val="none"/>
        </w:rPr>
        <w:t>平方米，其中：办公用房</w:t>
      </w:r>
      <w:r>
        <w:rPr>
          <w:rFonts w:hint="eastAsia" w:ascii="仿宋_GB2312" w:hAnsi="ˎ̥" w:eastAsia="仿宋_GB2312"/>
          <w:color w:val="000000"/>
          <w:sz w:val="32"/>
          <w:szCs w:val="32"/>
          <w:highlight w:val="none"/>
          <w:lang w:val="en-US" w:eastAsia="zh-CN"/>
        </w:rPr>
        <w:t>403.15</w:t>
      </w:r>
      <w:r>
        <w:rPr>
          <w:rFonts w:hint="eastAsia" w:ascii="仿宋_GB2312" w:hAnsi="ˎ̥" w:eastAsia="仿宋_GB2312"/>
          <w:color w:val="000000"/>
          <w:sz w:val="32"/>
          <w:szCs w:val="32"/>
          <w:highlight w:val="none"/>
        </w:rPr>
        <w:t>平方米，业务用房</w:t>
      </w:r>
      <w:r>
        <w:rPr>
          <w:rFonts w:hint="eastAsia" w:ascii="仿宋_GB2312" w:hAnsi="ˎ̥" w:eastAsia="仿宋_GB2312"/>
          <w:color w:val="000000"/>
          <w:sz w:val="32"/>
          <w:szCs w:val="32"/>
          <w:highlight w:val="none"/>
          <w:lang w:val="en-US" w:eastAsia="zh-CN"/>
        </w:rPr>
        <w:t>576.85</w:t>
      </w:r>
      <w:r>
        <w:rPr>
          <w:rFonts w:hint="eastAsia" w:ascii="仿宋_GB2312" w:hAnsi="ˎ̥" w:eastAsia="仿宋_GB2312"/>
          <w:color w:val="000000"/>
          <w:sz w:val="32"/>
          <w:szCs w:val="32"/>
          <w:highlight w:val="none"/>
        </w:rPr>
        <w:t>平方米，其他（不含构筑物）</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平方米。</w:t>
      </w:r>
    </w:p>
    <w:p w14:paraId="736797A5">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本部门共有车辆</w:t>
      </w:r>
      <w:r>
        <w:rPr>
          <w:rFonts w:hint="eastAsia" w:ascii="仿宋_GB2312" w:hAnsi="ˎ̥" w:eastAsia="仿宋_GB2312"/>
          <w:color w:val="000000"/>
          <w:sz w:val="32"/>
          <w:szCs w:val="32"/>
          <w:highlight w:val="none"/>
          <w:lang w:val="en-US" w:eastAsia="zh-CN"/>
        </w:rPr>
        <w:t>1</w:t>
      </w:r>
      <w:r>
        <w:rPr>
          <w:rFonts w:hint="eastAsia" w:ascii="仿宋_GB2312" w:hAnsi="ˎ̥" w:eastAsia="仿宋_GB2312"/>
          <w:color w:val="000000"/>
          <w:sz w:val="32"/>
          <w:szCs w:val="32"/>
          <w:highlight w:val="none"/>
        </w:rPr>
        <w:t>辆，其中，副部（省）级及以上领导用车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辆、主要领导干部用车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辆、机要通信用车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辆、应</w:t>
      </w:r>
      <w:bookmarkStart w:id="122" w:name="_GoBack"/>
      <w:bookmarkEnd w:id="122"/>
      <w:r>
        <w:rPr>
          <w:rFonts w:hint="eastAsia" w:ascii="仿宋_GB2312" w:hAnsi="ˎ̥" w:eastAsia="仿宋_GB2312"/>
          <w:color w:val="000000"/>
          <w:sz w:val="32"/>
          <w:szCs w:val="32"/>
          <w:highlight w:val="none"/>
        </w:rPr>
        <w:t>急保障用车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辆、执法执勤用车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辆、特种专业技术用车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辆、离退休干部用车</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辆、其他用车</w:t>
      </w:r>
      <w:r>
        <w:rPr>
          <w:rFonts w:hint="eastAsia" w:ascii="仿宋_GB2312" w:hAnsi="ˎ̥" w:eastAsia="仿宋_GB2312"/>
          <w:color w:val="000000"/>
          <w:sz w:val="32"/>
          <w:szCs w:val="32"/>
          <w:highlight w:val="none"/>
          <w:lang w:val="en-US" w:eastAsia="zh-CN"/>
        </w:rPr>
        <w:t>1</w:t>
      </w:r>
      <w:r>
        <w:rPr>
          <w:rFonts w:hint="eastAsia" w:ascii="仿宋_GB2312" w:hAnsi="ˎ̥" w:eastAsia="仿宋_GB2312"/>
          <w:color w:val="000000"/>
          <w:sz w:val="32"/>
          <w:szCs w:val="32"/>
          <w:highlight w:val="none"/>
        </w:rPr>
        <w:t>辆，其他用车主要是</w:t>
      </w:r>
      <w:r>
        <w:rPr>
          <w:rFonts w:hint="eastAsia" w:ascii="仿宋_GB2312" w:hAnsi="ˎ̥" w:eastAsia="仿宋_GB2312"/>
          <w:color w:val="000000"/>
          <w:sz w:val="32"/>
          <w:szCs w:val="32"/>
          <w:highlight w:val="none"/>
          <w:lang w:eastAsia="zh-CN"/>
        </w:rPr>
        <w:t>越野车用于森林防火巡护</w:t>
      </w:r>
      <w:r>
        <w:rPr>
          <w:rFonts w:hint="eastAsia" w:ascii="仿宋_GB2312" w:hAnsi="ˎ̥" w:eastAsia="仿宋_GB2312"/>
          <w:color w:val="000000"/>
          <w:sz w:val="32"/>
          <w:szCs w:val="32"/>
          <w:highlight w:val="none"/>
        </w:rPr>
        <w:t>。单价100万元（含）以上设备（不含车辆）</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台（套）。</w:t>
      </w:r>
    </w:p>
    <w:p w14:paraId="25F878EF">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年末在建工程</w:t>
      </w:r>
      <w:r>
        <w:rPr>
          <w:rFonts w:hint="eastAsia" w:ascii="仿宋_GB2312" w:hAnsi="ˎ̥" w:eastAsia="仿宋_GB2312"/>
          <w:color w:val="000000"/>
          <w:sz w:val="32"/>
          <w:szCs w:val="32"/>
          <w:highlight w:val="none"/>
          <w:lang w:val="en-US" w:eastAsia="zh-CN"/>
        </w:rPr>
        <w:t>0</w:t>
      </w:r>
      <w:r>
        <w:rPr>
          <w:rFonts w:hint="eastAsia" w:ascii="仿宋_GB2312" w:hAnsi="ˎ̥" w:eastAsia="仿宋_GB2312"/>
          <w:color w:val="000000"/>
          <w:sz w:val="32"/>
          <w:szCs w:val="32"/>
          <w:highlight w:val="none"/>
        </w:rPr>
        <w:t>万元。</w:t>
      </w:r>
    </w:p>
    <w:p w14:paraId="5694FE3A">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上述国有资产占用情况相关数字取自202</w:t>
      </w:r>
      <w:r>
        <w:rPr>
          <w:rFonts w:hint="eastAsia" w:ascii="仿宋_GB2312" w:hAnsi="ˎ̥" w:eastAsia="仿宋_GB2312"/>
          <w:color w:val="000000"/>
          <w:sz w:val="32"/>
          <w:szCs w:val="32"/>
          <w:highlight w:val="none"/>
          <w:lang w:val="en-US" w:eastAsia="zh-CN"/>
        </w:rPr>
        <w:t>3</w:t>
      </w:r>
      <w:r>
        <w:rPr>
          <w:rFonts w:hint="eastAsia" w:ascii="仿宋_GB2312" w:hAnsi="ˎ̥" w:eastAsia="仿宋_GB2312"/>
          <w:color w:val="000000"/>
          <w:sz w:val="32"/>
          <w:szCs w:val="32"/>
          <w:highlight w:val="none"/>
        </w:rPr>
        <w:t>年度部门决算F01表《预算支出相关信息表》、F03表《机构运行信息表》。）</w:t>
      </w:r>
    </w:p>
    <w:p w14:paraId="0A21939A">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bookmarkStart w:id="116" w:name="_Toc11039_WPSOffice_Level1"/>
      <w:bookmarkStart w:id="117" w:name="_Toc4398_WPSOffice_Level1"/>
      <w:bookmarkStart w:id="118" w:name="_Toc8874_WPSOffice_Level1"/>
      <w:bookmarkStart w:id="119" w:name="_Toc15425_WPSOffice_Level1"/>
      <w:bookmarkStart w:id="120" w:name="_Toc17580_WPSOffice_Level1"/>
      <w:bookmarkStart w:id="121" w:name="_Toc8808_WPSOffice_Level1"/>
    </w:p>
    <w:p w14:paraId="21299B97">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r>
        <w:rPr>
          <w:rFonts w:hint="eastAsia" w:ascii="黑体" w:hAnsi="ˎ̥" w:eastAsia="黑体"/>
          <w:color w:val="000000"/>
          <w:sz w:val="32"/>
          <w:szCs w:val="32"/>
          <w:highlight w:val="none"/>
        </w:rPr>
        <w:t>第四部分  名词解释</w:t>
      </w:r>
      <w:bookmarkEnd w:id="116"/>
      <w:bookmarkEnd w:id="117"/>
      <w:bookmarkEnd w:id="118"/>
      <w:bookmarkEnd w:id="119"/>
      <w:bookmarkEnd w:id="120"/>
      <w:bookmarkEnd w:id="121"/>
    </w:p>
    <w:p w14:paraId="77DCDC54">
      <w:pPr>
        <w:keepNext w:val="0"/>
        <w:keepLines w:val="0"/>
        <w:pageBreakBefore w:val="0"/>
        <w:kinsoku/>
        <w:wordWrap/>
        <w:overflowPunct/>
        <w:topLinePunct w:val="0"/>
        <w:autoSpaceDE/>
        <w:autoSpaceDN/>
        <w:bidi w:val="0"/>
        <w:adjustRightInd/>
        <w:snapToGrid/>
        <w:spacing w:line="560" w:lineRule="exact"/>
        <w:jc w:val="center"/>
        <w:textAlignment w:val="auto"/>
        <w:rPr>
          <w:rFonts w:hint="eastAsia" w:ascii="黑体" w:hAnsi="ˎ̥" w:eastAsia="黑体"/>
          <w:color w:val="000000"/>
          <w:sz w:val="32"/>
          <w:szCs w:val="32"/>
          <w:highlight w:val="none"/>
        </w:rPr>
      </w:pPr>
    </w:p>
    <w:p w14:paraId="52EA6C75">
      <w:pPr>
        <w:keepNext w:val="0"/>
        <w:keepLines w:val="0"/>
        <w:pageBreakBefore w:val="0"/>
        <w:numPr>
          <w:ilvl w:val="0"/>
          <w:numId w:val="3"/>
        </w:numPr>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财政拨款收入：指同级政府财政部门当年拨付的各类财政拨款。</w:t>
      </w:r>
    </w:p>
    <w:p w14:paraId="35B9B28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二、上级补助收入：指事业单位从主管部门和上级单位取得的非财政补助收入。</w:t>
      </w:r>
    </w:p>
    <w:p w14:paraId="0908C2F8">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三、事业收入：指事业单位开展专业业务活动及辅助活动取得的收入。</w:t>
      </w:r>
    </w:p>
    <w:p w14:paraId="5AD0792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四、经营收入：指事业单位在专业业务活动及其辅助活动之外开展非独立核算经营活动取得的收入。</w:t>
      </w:r>
    </w:p>
    <w:p w14:paraId="17E66433">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五、附属单位上缴收入：指事业单位取得附属独立核算单位根据有关规定上缴的收入。</w:t>
      </w:r>
    </w:p>
    <w:p w14:paraId="4A9F94FE">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六、其他收入：指除上述“财政拨款收入”“事业收入”“上级补助收入”“经营收入”“附属单位上缴收入”等以外的收入。</w:t>
      </w:r>
    </w:p>
    <w:p w14:paraId="0263353B">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七、使用非财政拨款结余：指事业单位在当年的“财政拨款收入”“事业收入”“经营收入”“其他收入”等不足以安排当年支出的情况下，使用非同级财政拨款结余资金弥补本年度收支缺口。</w:t>
      </w:r>
    </w:p>
    <w:p w14:paraId="0BA94D0C">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八、年初结转和结余：指以前年度尚未完成、结转到本年按有关规定继续使用的资金，或项目已完成等产生的结余资金。</w:t>
      </w:r>
    </w:p>
    <w:p w14:paraId="3185746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九、结余分配：指事业单位缴纳企业所得税以及从非财政拨款结余或经营结余中提取各类结余的情况。</w:t>
      </w:r>
    </w:p>
    <w:p w14:paraId="4688857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十、年末结转和结余：指本年度或以前年度预算安排、因客观条件发生变化无法按原计划实施，需要延迟到以后年度按有关规定继续使用的资金（不包括事业单位非财政拨款结余和专用结余）。</w:t>
      </w:r>
    </w:p>
    <w:p w14:paraId="2661EF29">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十一、基本支出：指为保障机构正常运转、完成日常工作任务而发生的人员支出和公用支出。</w:t>
      </w:r>
    </w:p>
    <w:p w14:paraId="37A8EB92">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十二、项目支出：指在基本支出之外为完成特定行政任务和事业发展目标所发生的支出。</w:t>
      </w:r>
    </w:p>
    <w:p w14:paraId="45BE26D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十三、经营支出：指事业单位在专业业务活动及其辅助活动之外开展非独立核算经营活动发生的支出。</w:t>
      </w:r>
    </w:p>
    <w:p w14:paraId="0EFE9FE0">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四、“三公”经费：纳入本级财政预决算管理的“三公”经费，是指用一般公共预算财政拨款、政府性基金预算财政拨款及国有资本经营预算财政拨款安排的因公出国（境）费、公务用车购置及运行维护费和公务接待费。其中，因公出国（境）费反映单位公务出国（境）的国际旅费、国外城市间交通费、住宿费、伙食费、培训费、公杂费等支出；公务用车购置及运行维护费反映单位公务用车车辆购置支出（含车辆购置税、牌照费）及燃料费、维修费、过路过桥费、保险费、安全奖励费用等支出；公务接待费反映单位按规定开支的各类公务接待（含外宾接待）费用。</w:t>
      </w:r>
    </w:p>
    <w:p w14:paraId="7C07FA54">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十五、机关运行经费：为保障行政单位（含参照公务员法管理的事业单位）运行使用一般公共预算财政拨款安排的基本支出经费用于购买货物和服务的各项资金，包括办公及印刷费、邮电费、差旅费、会议费、福利费、日常维修费、专用材料及一般设备购置费、办公用房水电费、办公用房取暖费、办公用房物业管理费、公务用车运行维护费以及其他费用等。</w:t>
      </w:r>
    </w:p>
    <w:p w14:paraId="14045B65">
      <w:pPr>
        <w:keepNext w:val="0"/>
        <w:keepLines w:val="0"/>
        <w:pageBreakBefore w:val="0"/>
        <w:kinsoku/>
        <w:wordWrap/>
        <w:overflowPunct/>
        <w:topLinePunct w:val="0"/>
        <w:autoSpaceDE/>
        <w:autoSpaceDN/>
        <w:bidi w:val="0"/>
        <w:adjustRightInd/>
        <w:snapToGrid/>
        <w:spacing w:line="560" w:lineRule="exact"/>
        <w:ind w:firstLine="645"/>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（注</w:t>
      </w:r>
      <w:r>
        <w:rPr>
          <w:rFonts w:ascii="仿宋_GB2312" w:hAnsi="ˎ̥" w:eastAsia="仿宋_GB2312"/>
          <w:color w:val="000000"/>
          <w:sz w:val="32"/>
          <w:szCs w:val="32"/>
          <w:highlight w:val="none"/>
        </w:rPr>
        <w:t>：</w:t>
      </w:r>
      <w:r>
        <w:rPr>
          <w:rFonts w:hint="eastAsia" w:ascii="仿宋_GB2312" w:hAnsi="ˎ̥" w:eastAsia="仿宋_GB2312"/>
          <w:color w:val="000000"/>
          <w:sz w:val="32"/>
          <w:szCs w:val="32"/>
          <w:highlight w:val="none"/>
        </w:rPr>
        <w:t>支出功能分类的名词解释，各部门（单位）根据实际支出情况填列，可参阅财政部印发的《202</w:t>
      </w:r>
      <w:r>
        <w:rPr>
          <w:rFonts w:ascii="仿宋_GB2312" w:hAnsi="ˎ̥" w:eastAsia="仿宋_GB2312"/>
          <w:color w:val="000000"/>
          <w:sz w:val="32"/>
          <w:szCs w:val="32"/>
          <w:highlight w:val="none"/>
        </w:rPr>
        <w:t>2</w:t>
      </w:r>
      <w:r>
        <w:rPr>
          <w:rFonts w:hint="eastAsia" w:ascii="仿宋_GB2312" w:hAnsi="ˎ̥" w:eastAsia="仿宋_GB2312"/>
          <w:color w:val="000000"/>
          <w:sz w:val="32"/>
          <w:szCs w:val="32"/>
          <w:highlight w:val="none"/>
        </w:rPr>
        <w:t>年政府收支分类科目》）</w:t>
      </w:r>
    </w:p>
    <w:p w14:paraId="644D0F41">
      <w:pPr>
        <w:keepNext w:val="0"/>
        <w:keepLines w:val="0"/>
        <w:pageBreakBefore w:val="0"/>
        <w:kinsoku/>
        <w:wordWrap/>
        <w:overflowPunct/>
        <w:topLinePunct w:val="0"/>
        <w:autoSpaceDE/>
        <w:autoSpaceDN/>
        <w:bidi w:val="0"/>
        <w:adjustRightInd/>
        <w:snapToGrid/>
        <w:spacing w:line="560" w:lineRule="exact"/>
        <w:textAlignment w:val="auto"/>
        <w:rPr>
          <w:rFonts w:hint="eastAsia" w:ascii="仿宋_GB2312" w:hAnsi="ˎ̥" w:eastAsia="仿宋_GB2312"/>
          <w:color w:val="000000"/>
          <w:sz w:val="32"/>
          <w:szCs w:val="32"/>
          <w:highlight w:val="none"/>
        </w:rPr>
      </w:pPr>
      <w:r>
        <w:rPr>
          <w:rFonts w:hint="eastAsia" w:ascii="仿宋_GB2312" w:hAnsi="ˎ̥" w:eastAsia="仿宋_GB2312"/>
          <w:color w:val="000000"/>
          <w:sz w:val="32"/>
          <w:szCs w:val="32"/>
          <w:highlight w:val="none"/>
        </w:rPr>
        <w:t>……</w:t>
      </w:r>
    </w:p>
    <w:p w14:paraId="64953F3D">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highlight w:val="none"/>
          <w:lang w:eastAsia="zh-CN"/>
        </w:rPr>
      </w:pPr>
    </w:p>
    <w:p w14:paraId="6B014C77">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color w:val="000000"/>
          <w:sz w:val="32"/>
          <w:szCs w:val="32"/>
          <w:highlight w:val="none"/>
          <w:lang w:val="en-US" w:eastAsia="zh-CN"/>
        </w:rPr>
      </w:pPr>
      <w:r>
        <w:rPr>
          <w:rFonts w:hint="eastAsia" w:ascii="仿宋" w:hAnsi="仿宋" w:eastAsia="仿宋" w:cs="仿宋"/>
          <w:color w:val="000000"/>
          <w:sz w:val="32"/>
          <w:szCs w:val="32"/>
          <w:highlight w:val="none"/>
          <w:lang w:eastAsia="zh-CN"/>
        </w:rPr>
        <w:t>附：海南</w:t>
      </w:r>
      <w:r>
        <w:rPr>
          <w:rFonts w:hint="eastAsia" w:ascii="仿宋" w:hAnsi="仿宋" w:eastAsia="仿宋" w:cs="仿宋"/>
          <w:color w:val="000000"/>
          <w:sz w:val="32"/>
          <w:szCs w:val="32"/>
          <w:highlight w:val="none"/>
          <w:lang w:val="en-US" w:eastAsia="zh-CN"/>
        </w:rPr>
        <w:t>南林</w:t>
      </w:r>
      <w:r>
        <w:rPr>
          <w:rFonts w:hint="eastAsia" w:ascii="仿宋" w:hAnsi="仿宋" w:eastAsia="仿宋" w:cs="仿宋"/>
          <w:color w:val="000000"/>
          <w:sz w:val="32"/>
          <w:szCs w:val="32"/>
          <w:highlight w:val="none"/>
          <w:lang w:eastAsia="zh-CN"/>
        </w:rPr>
        <w:t>省级自然保护区管理站</w:t>
      </w:r>
      <w:r>
        <w:rPr>
          <w:rFonts w:hint="eastAsia" w:ascii="仿宋" w:hAnsi="仿宋" w:eastAsia="仿宋" w:cs="仿宋"/>
          <w:color w:val="000000"/>
          <w:sz w:val="32"/>
          <w:szCs w:val="32"/>
          <w:highlight w:val="none"/>
          <w:lang w:val="en-US" w:eastAsia="zh-CN"/>
        </w:rPr>
        <w:t>2023年部门决算公开表</w:t>
      </w:r>
    </w:p>
    <w:p w14:paraId="3EE32D74">
      <w:pPr>
        <w:rPr>
          <w:rFonts w:hint="eastAsia" w:ascii="仿宋" w:hAnsi="仿宋" w:eastAsia="仿宋" w:cs="仿宋"/>
          <w:sz w:val="32"/>
          <w:szCs w:val="32"/>
        </w:rPr>
      </w:pPr>
    </w:p>
    <w:sectPr>
      <w:footerReference r:id="rId3" w:type="default"/>
      <w:footerReference r:id="rId4" w:type="even"/>
      <w:pgSz w:w="11906" w:h="16838"/>
      <w:pgMar w:top="1440" w:right="1800" w:bottom="1440" w:left="1800" w:header="851" w:footer="992"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ˎ̥">
    <w:altName w:val="HP Simplified Hans"/>
    <w:panose1 w:val="00000000000000000000"/>
    <w:charset w:val="00"/>
    <w:family w:val="roman"/>
    <w:pitch w:val="default"/>
    <w:sig w:usb0="00000000" w:usb1="00000000" w:usb2="00000000"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serif">
    <w:altName w:val="ksdb"/>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ksdb">
    <w:panose1 w:val="02000500000000000000"/>
    <w:charset w:val="00"/>
    <w:family w:val="auto"/>
    <w:pitch w:val="default"/>
    <w:sig w:usb0="00000001" w:usb1="00000000" w:usb2="00000000" w:usb3="00000000" w:csb0="00000001" w:csb1="00000000"/>
  </w:font>
  <w:font w:name="HP Simplified Hans">
    <w:panose1 w:val="020B0500000000000000"/>
    <w:charset w:val="86"/>
    <w:family w:val="auto"/>
    <w:pitch w:val="default"/>
    <w:sig w:usb0="A00002BF" w:usb1="38CF7CFA" w:usb2="00000016" w:usb3="00000000" w:csb0="2004011D" w:csb1="41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08E2AD">
    <w:pPr>
      <w:pStyle w:val="3"/>
    </w:pPr>
    <w:r>
      <w:rPr>
        <w:sz w:val="18"/>
      </w:rPr>
      <w:pict>
        <v:shape id="_x0000_s4097" o:spid="_x0000_s4097"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60C384EC">
                <w:pPr>
                  <w:pStyle w:val="3"/>
                  <w:rPr>
                    <w:rStyle w:val="7"/>
                  </w:rPr>
                </w:pPr>
                <w:r>
                  <w:rPr>
                    <w:rStyle w:val="7"/>
                  </w:rPr>
                  <w:t xml:space="preserve">— </w:t>
                </w:r>
                <w:r>
                  <w:rPr>
                    <w:rStyle w:val="7"/>
                  </w:rPr>
                  <w:fldChar w:fldCharType="begin"/>
                </w:r>
                <w:r>
                  <w:rPr>
                    <w:rStyle w:val="7"/>
                  </w:rPr>
                  <w:instrText xml:space="preserve"> PAGE  \* MERGEFORMAT </w:instrText>
                </w:r>
                <w:r>
                  <w:rPr>
                    <w:rStyle w:val="7"/>
                  </w:rPr>
                  <w:fldChar w:fldCharType="separate"/>
                </w:r>
                <w:r>
                  <w:rPr>
                    <w:rStyle w:val="7"/>
                  </w:rPr>
                  <w:t>1</w:t>
                </w:r>
                <w:r>
                  <w:rPr>
                    <w:rStyle w:val="7"/>
                  </w:rPr>
                  <w:fldChar w:fldCharType="end"/>
                </w:r>
                <w:r>
                  <w:rPr>
                    <w:rStyle w:val="7"/>
                  </w:rPr>
                  <w:t xml:space="preserve"> —</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1DA2BB">
    <w:pPr>
      <w:pStyle w:val="3"/>
      <w:framePr w:wrap="around" w:vAnchor="text" w:hAnchor="margin" w:xAlign="center" w:y="1"/>
      <w:rPr>
        <w:rStyle w:val="7"/>
      </w:rPr>
    </w:pPr>
    <w:r>
      <w:fldChar w:fldCharType="begin"/>
    </w:r>
    <w:r>
      <w:rPr>
        <w:rStyle w:val="7"/>
      </w:rPr>
      <w:instrText xml:space="preserve">PAGE  </w:instrText>
    </w:r>
    <w:r>
      <w:fldChar w:fldCharType="separate"/>
    </w:r>
    <w:r>
      <w:fldChar w:fldCharType="end"/>
    </w:r>
  </w:p>
  <w:p w14:paraId="4B549782">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FFC2DCC"/>
    <w:multiLevelType w:val="singleLevel"/>
    <w:tmpl w:val="AFFC2DCC"/>
    <w:lvl w:ilvl="0" w:tentative="0">
      <w:start w:val="1"/>
      <w:numFmt w:val="chineseCounting"/>
      <w:suff w:val="nothing"/>
      <w:lvlText w:val="%1、"/>
      <w:lvlJc w:val="left"/>
      <w:rPr>
        <w:rFonts w:hint="eastAsia"/>
      </w:rPr>
    </w:lvl>
  </w:abstractNum>
  <w:abstractNum w:abstractNumId="1">
    <w:nsid w:val="FB5FBC04"/>
    <w:multiLevelType w:val="multilevel"/>
    <w:tmpl w:val="FB5FBC04"/>
    <w:lvl w:ilvl="0" w:tentative="0">
      <w:start w:val="1"/>
      <w:numFmt w:val="japaneseCounting"/>
      <w:lvlText w:val="%1、"/>
      <w:lvlJc w:val="left"/>
      <w:pPr>
        <w:ind w:left="720" w:hanging="720"/>
      </w:pPr>
      <w:rPr>
        <w:lang w:val="en-US"/>
      </w:rPr>
    </w:lvl>
    <w:lvl w:ilvl="1" w:tentative="0">
      <w:start w:val="1"/>
      <w:numFmt w:val="decimal"/>
      <w:lvlText w:val="%2."/>
      <w:lvlJc w:val="left"/>
      <w:pPr>
        <w:tabs>
          <w:tab w:val="left" w:pos="1440"/>
        </w:tabs>
        <w:ind w:left="1440" w:hanging="36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2">
    <w:nsid w:val="72109F8D"/>
    <w:multiLevelType w:val="singleLevel"/>
    <w:tmpl w:val="72109F8D"/>
    <w:lvl w:ilvl="0" w:tentative="0">
      <w:start w:val="7"/>
      <w:numFmt w:val="chineseCounting"/>
      <w:suff w:val="nothing"/>
      <w:lvlText w:val="%1、"/>
      <w:lvlJc w:val="left"/>
      <w:rPr>
        <w:rFonts w:hint="eastAsi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YmFmODQ5M2E3NzY3YTlhMjllYmQzMDM0NGI1NWM5MGYifQ=="/>
  </w:docVars>
  <w:rsids>
    <w:rsidRoot w:val="00BE5EC6"/>
    <w:rsid w:val="003C1E7E"/>
    <w:rsid w:val="00BE5EC6"/>
    <w:rsid w:val="01566305"/>
    <w:rsid w:val="049A105B"/>
    <w:rsid w:val="097A7FD3"/>
    <w:rsid w:val="0C427AB6"/>
    <w:rsid w:val="0C50326D"/>
    <w:rsid w:val="0EF56BA2"/>
    <w:rsid w:val="11103EA5"/>
    <w:rsid w:val="12354A04"/>
    <w:rsid w:val="14214A15"/>
    <w:rsid w:val="16445622"/>
    <w:rsid w:val="16685D83"/>
    <w:rsid w:val="1A297767"/>
    <w:rsid w:val="1C2A72A6"/>
    <w:rsid w:val="1D2917ED"/>
    <w:rsid w:val="21BA76AF"/>
    <w:rsid w:val="22F16BE4"/>
    <w:rsid w:val="24B263AC"/>
    <w:rsid w:val="2B9606CC"/>
    <w:rsid w:val="2CC30F1A"/>
    <w:rsid w:val="2CEA645C"/>
    <w:rsid w:val="35AB6044"/>
    <w:rsid w:val="37060C38"/>
    <w:rsid w:val="3C9A2CFD"/>
    <w:rsid w:val="41C37191"/>
    <w:rsid w:val="42B37AD7"/>
    <w:rsid w:val="42FC4A6B"/>
    <w:rsid w:val="46B94D6D"/>
    <w:rsid w:val="4AD212D6"/>
    <w:rsid w:val="509D26A0"/>
    <w:rsid w:val="515C64C6"/>
    <w:rsid w:val="51FE13A6"/>
    <w:rsid w:val="54B16226"/>
    <w:rsid w:val="561440C9"/>
    <w:rsid w:val="5900186D"/>
    <w:rsid w:val="598219D2"/>
    <w:rsid w:val="59B5156F"/>
    <w:rsid w:val="5B1C0E75"/>
    <w:rsid w:val="5B7E082A"/>
    <w:rsid w:val="5BAE7FE7"/>
    <w:rsid w:val="5C53607D"/>
    <w:rsid w:val="5FE0567F"/>
    <w:rsid w:val="63FA7D9F"/>
    <w:rsid w:val="646031C3"/>
    <w:rsid w:val="668D2269"/>
    <w:rsid w:val="66C5503D"/>
    <w:rsid w:val="681E7759"/>
    <w:rsid w:val="6E0761AA"/>
    <w:rsid w:val="6EB45244"/>
    <w:rsid w:val="6F7F4719"/>
    <w:rsid w:val="6F873398"/>
    <w:rsid w:val="734A6FCB"/>
    <w:rsid w:val="76150E6E"/>
    <w:rsid w:val="782C0A12"/>
    <w:rsid w:val="7A782566"/>
    <w:rsid w:val="7CFC19FE"/>
    <w:rsid w:val="7D445FEF"/>
    <w:rsid w:val="7EB702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customStyle="1" w:styleId="2">
    <w:name w:val="Heading2"/>
    <w:next w:val="1"/>
    <w:qFormat/>
    <w:uiPriority w:val="0"/>
    <w:pPr>
      <w:widowControl w:val="0"/>
      <w:spacing w:before="65"/>
      <w:ind w:right="741"/>
      <w:jc w:val="center"/>
      <w:textAlignment w:val="baseline"/>
    </w:pPr>
    <w:rPr>
      <w:rFonts w:hint="default" w:ascii="宋体" w:hAnsi="宋体" w:eastAsia="宋体" w:cs="Times New Roman"/>
      <w:kern w:val="2"/>
      <w:sz w:val="36"/>
      <w:szCs w:val="36"/>
      <w:lang w:val="zh-CN" w:eastAsia="zh-CN" w:bidi="zh-CN"/>
    </w:r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Normal (Web)"/>
    <w:basedOn w:val="1"/>
    <w:semiHidden/>
    <w:unhideWhenUsed/>
    <w:qFormat/>
    <w:uiPriority w:val="99"/>
    <w:pPr>
      <w:keepNext w:val="0"/>
      <w:keepLines w:val="0"/>
      <w:widowControl/>
      <w:suppressLineNumbers w:val="0"/>
      <w:spacing w:before="0" w:beforeAutospacing="1" w:after="0" w:afterAutospacing="1"/>
      <w:ind w:left="0" w:right="0"/>
      <w:jc w:val="left"/>
    </w:pPr>
    <w:rPr>
      <w:rFonts w:hint="eastAsia" w:ascii="宋体" w:hAnsi="宋体" w:eastAsia="宋体" w:cs="宋体"/>
      <w:kern w:val="0"/>
      <w:sz w:val="24"/>
      <w:szCs w:val="24"/>
      <w:lang w:val="en-US" w:eastAsia="zh-CN" w:bidi="ar"/>
    </w:rPr>
  </w:style>
  <w:style w:type="character" w:styleId="7">
    <w:name w:val="page number"/>
    <w:qFormat/>
    <w:uiPriority w:val="0"/>
  </w:style>
  <w:style w:type="paragraph" w:customStyle="1" w:styleId="8">
    <w:name w:val="WPSOffice手动目录 1"/>
    <w:qFormat/>
    <w:uiPriority w:val="0"/>
    <w:rPr>
      <w:rFonts w:ascii="Times New Roman" w:hAnsi="Times New Roman" w:eastAsia="宋体" w:cs="Times New Roman"/>
      <w:lang w:val="en-US" w:eastAsia="zh-CN" w:bidi="ar-SA"/>
    </w:rPr>
  </w:style>
  <w:style w:type="paragraph" w:customStyle="1" w:styleId="9">
    <w:name w:val="WPSOffice手动目录 2"/>
    <w:qFormat/>
    <w:uiPriority w:val="0"/>
    <w:pPr>
      <w:ind w:leftChars="200"/>
    </w:pPr>
    <w:rPr>
      <w:rFonts w:ascii="Times New Roman" w:hAnsi="Times New Roman" w:eastAsia="宋体" w:cs="Times New Roman"/>
      <w:lang w:val="en-US" w:eastAsia="zh-CN" w:bidi="ar-SA"/>
    </w:rPr>
  </w:style>
  <w:style w:type="paragraph" w:customStyle="1" w:styleId="10">
    <w:name w:val="msolistparagraph"/>
    <w:basedOn w:val="1"/>
    <w:hidden/>
    <w:qFormat/>
    <w:uiPriority w:val="0"/>
    <w:pPr>
      <w:keepNext w:val="0"/>
      <w:keepLines w:val="0"/>
      <w:widowControl/>
      <w:suppressLineNumbers w:val="0"/>
      <w:spacing w:before="0" w:beforeAutospacing="0" w:after="0" w:afterAutospacing="0"/>
      <w:ind w:left="0" w:right="0" w:firstLine="420" w:firstLineChars="200"/>
      <w:jc w:val="left"/>
    </w:pPr>
    <w:rPr>
      <w:rFonts w:hint="eastAsia" w:ascii="宋体" w:hAnsi="宋体" w:eastAsia="宋体" w:cs="宋体"/>
      <w:kern w:val="0"/>
      <w:sz w:val="24"/>
      <w:szCs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6906</Words>
  <Characters>7534</Characters>
  <Lines>1</Lines>
  <Paragraphs>1</Paragraphs>
  <TotalTime>20</TotalTime>
  <ScaleCrop>false</ScaleCrop>
  <LinksUpToDate>false</LinksUpToDate>
  <CharactersWithSpaces>7604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2023-09-18T07:21:00Z</dcterms:created>
  <dc:creator>Users</dc:creator>
  <cp:lastModifiedBy>光脚也怕穿鞋的</cp:lastModifiedBy>
  <dcterms:modified xsi:type="dcterms:W3CDTF">2024-09-24T04:22:50Z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24F870EBCC3F42F28B79FC912530E578_12</vt:lpwstr>
  </property>
</Properties>
</file>