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3BA26">
      <w:pPr>
        <w:shd w:val="clear" w:color="auto" w:fill="FFFFFF"/>
        <w:spacing w:before="100" w:beforeAutospacing="1" w:after="100" w:afterAutospacing="1"/>
        <w:rPr>
          <w:rFonts w:hint="eastAsia" w:ascii="黑体" w:eastAsia="黑体"/>
          <w:sz w:val="32"/>
          <w:szCs w:val="32"/>
        </w:rPr>
      </w:pPr>
      <w:r>
        <w:rPr>
          <w:rFonts w:hint="eastAsia" w:ascii="黑体" w:eastAsia="黑体"/>
          <w:sz w:val="32"/>
          <w:szCs w:val="32"/>
        </w:rPr>
        <w:t>附件1</w:t>
      </w:r>
    </w:p>
    <w:p w14:paraId="31F50791">
      <w:pPr>
        <w:shd w:val="clear" w:color="auto" w:fill="FFFFFF"/>
        <w:spacing w:before="100" w:beforeAutospacing="1" w:after="100" w:afterAutospacing="1"/>
        <w:rPr>
          <w:rFonts w:hint="eastAsia"/>
          <w:sz w:val="30"/>
          <w:szCs w:val="30"/>
        </w:rPr>
      </w:pPr>
    </w:p>
    <w:p w14:paraId="2B4AC963">
      <w:pPr>
        <w:shd w:val="clear" w:color="auto" w:fill="FFFFFF"/>
        <w:spacing w:before="100" w:beforeAutospacing="1" w:after="100" w:afterAutospacing="1"/>
        <w:jc w:val="center"/>
        <w:rPr>
          <w:rFonts w:hint="eastAsia" w:ascii="黑体" w:hAnsi="ˎ̥" w:eastAsia="黑体"/>
          <w:sz w:val="44"/>
          <w:szCs w:val="44"/>
        </w:rPr>
      </w:pPr>
      <w:r>
        <w:rPr>
          <w:rFonts w:hint="eastAsia" w:ascii="黑体" w:hAnsi="ˎ̥" w:eastAsia="黑体"/>
          <w:sz w:val="44"/>
          <w:szCs w:val="44"/>
        </w:rPr>
        <w:t>海南青皮林省级自然保护区202</w:t>
      </w:r>
      <w:r>
        <w:rPr>
          <w:rFonts w:hint="eastAsia" w:ascii="黑体" w:hAnsi="ˎ̥" w:eastAsia="黑体"/>
          <w:sz w:val="44"/>
          <w:szCs w:val="44"/>
          <w:lang w:val="en-US" w:eastAsia="zh-CN"/>
        </w:rPr>
        <w:t>4</w:t>
      </w:r>
      <w:r>
        <w:rPr>
          <w:rFonts w:hint="eastAsia" w:ascii="黑体" w:hAnsi="ˎ̥" w:eastAsia="黑体"/>
          <w:sz w:val="44"/>
          <w:szCs w:val="44"/>
        </w:rPr>
        <w:t>年度部门决算公开报告</w:t>
      </w:r>
    </w:p>
    <w:p w14:paraId="4365F148">
      <w:pPr>
        <w:shd w:val="clear" w:color="auto" w:fill="FFFFFF"/>
        <w:spacing w:before="100" w:beforeAutospacing="1" w:after="100" w:afterAutospacing="1"/>
        <w:jc w:val="center"/>
        <w:rPr>
          <w:rFonts w:hint="eastAsia" w:ascii="黑体" w:hAnsi="ˎ̥" w:eastAsia="黑体"/>
          <w:b/>
          <w:sz w:val="32"/>
          <w:szCs w:val="32"/>
        </w:rPr>
      </w:pPr>
    </w:p>
    <w:p w14:paraId="5F9ED268">
      <w:pPr>
        <w:shd w:val="clear" w:color="auto" w:fill="FFFFFF"/>
        <w:spacing w:before="100" w:beforeAutospacing="1" w:after="100" w:afterAutospacing="1"/>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4EC4EBC6">
      <w:pPr>
        <w:pStyle w:val="7"/>
        <w:shd w:val="clear" w:color="auto" w:fill="FFFFFF"/>
        <w:tabs>
          <w:tab w:val="right" w:leader="dot" w:pos="8306"/>
        </w:tabs>
        <w:rPr>
          <w:rFonts w:hint="eastAsia"/>
          <w:sz w:val="32"/>
          <w:szCs w:val="32"/>
        </w:rPr>
      </w:pPr>
      <w:r>
        <w:rPr>
          <w:rFonts w:hint="eastAsia" w:ascii="黑体" w:hAnsi="ˎ̥" w:eastAsia="黑体"/>
          <w:sz w:val="32"/>
          <w:szCs w:val="32"/>
        </w:rPr>
        <w:t>第一部分  海南青皮林省级自然保护区概况</w:t>
      </w:r>
      <w:r>
        <w:rPr>
          <w:sz w:val="32"/>
          <w:szCs w:val="32"/>
        </w:rPr>
        <w:tab/>
      </w:r>
      <w:r>
        <w:rPr>
          <w:sz w:val="32"/>
          <w:szCs w:val="32"/>
        </w:rPr>
        <w:t>3</w:t>
      </w:r>
    </w:p>
    <w:p w14:paraId="1D62B228">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sz w:val="32"/>
          <w:szCs w:val="32"/>
        </w:rPr>
        <w:t>一、部门职责</w:t>
      </w:r>
      <w:r>
        <w:rPr>
          <w:rFonts w:hint="eastAsia" w:ascii="仿宋" w:hAnsi="仿宋" w:eastAsia="仿宋" w:cs="仿宋"/>
          <w:sz w:val="32"/>
          <w:szCs w:val="32"/>
        </w:rPr>
        <w:tab/>
      </w:r>
      <w:r>
        <w:rPr>
          <w:rFonts w:hint="eastAsia" w:ascii="仿宋" w:hAnsi="仿宋" w:eastAsia="仿宋" w:cs="仿宋"/>
          <w:sz w:val="32"/>
          <w:szCs w:val="32"/>
        </w:rPr>
        <w:t>3</w:t>
      </w:r>
    </w:p>
    <w:p w14:paraId="494BB7D6">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t>3</w:t>
      </w:r>
    </w:p>
    <w:p w14:paraId="7ECD9ECB">
      <w:pPr>
        <w:pStyle w:val="7"/>
        <w:shd w:val="clear" w:color="auto" w:fill="FFFFFF"/>
        <w:tabs>
          <w:tab w:val="right" w:leader="dot" w:pos="8306"/>
        </w:tabs>
        <w:rPr>
          <w:rFonts w:hint="eastAsia"/>
          <w:sz w:val="32"/>
          <w:szCs w:val="32"/>
        </w:rPr>
      </w:pPr>
      <w:r>
        <w:rPr>
          <w:rFonts w:hint="eastAsia" w:ascii="黑体" w:hAnsi="ˎ̥" w:eastAsia="黑体"/>
          <w:sz w:val="32"/>
          <w:szCs w:val="32"/>
        </w:rPr>
        <w:t>第二部分  海南青皮林省级自然保护区202</w:t>
      </w:r>
      <w:r>
        <w:rPr>
          <w:rFonts w:hint="eastAsia" w:ascii="黑体" w:hAnsi="ˎ̥" w:eastAsia="黑体"/>
          <w:sz w:val="32"/>
          <w:szCs w:val="32"/>
          <w:lang w:val="en-US" w:eastAsia="zh-CN"/>
        </w:rPr>
        <w:t>4</w:t>
      </w:r>
      <w:r>
        <w:rPr>
          <w:rFonts w:hint="eastAsia" w:ascii="黑体" w:hAnsi="ˎ̥" w:eastAsia="黑体"/>
          <w:sz w:val="32"/>
          <w:szCs w:val="32"/>
        </w:rPr>
        <w:t>年度部门决算公开表</w:t>
      </w:r>
      <w:r>
        <w:rPr>
          <w:sz w:val="32"/>
          <w:szCs w:val="32"/>
        </w:rPr>
        <w:tab/>
      </w:r>
      <w:r>
        <w:rPr>
          <w:sz w:val="32"/>
          <w:szCs w:val="32"/>
        </w:rPr>
        <w:t>3</w:t>
      </w:r>
    </w:p>
    <w:p w14:paraId="26E298C3">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sz w:val="32"/>
          <w:szCs w:val="32"/>
        </w:rPr>
        <w:t>一、收入支出决算公开表</w:t>
      </w:r>
      <w:r>
        <w:rPr>
          <w:rFonts w:hint="eastAsia" w:ascii="仿宋" w:hAnsi="仿宋" w:eastAsia="仿宋" w:cs="仿宋"/>
          <w:sz w:val="32"/>
          <w:szCs w:val="32"/>
        </w:rPr>
        <w:tab/>
      </w:r>
      <w:r>
        <w:rPr>
          <w:rFonts w:hint="eastAsia" w:ascii="仿宋" w:hAnsi="仿宋" w:eastAsia="仿宋" w:cs="仿宋"/>
          <w:sz w:val="32"/>
          <w:szCs w:val="32"/>
        </w:rPr>
        <w:t>3</w:t>
      </w:r>
    </w:p>
    <w:p w14:paraId="69F46420">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sz w:val="32"/>
          <w:szCs w:val="32"/>
        </w:rPr>
        <w:t>二、收入决算公开表</w:t>
      </w:r>
      <w:r>
        <w:rPr>
          <w:rFonts w:hint="eastAsia" w:ascii="仿宋" w:hAnsi="仿宋" w:eastAsia="仿宋" w:cs="仿宋"/>
          <w:sz w:val="32"/>
          <w:szCs w:val="32"/>
        </w:rPr>
        <w:tab/>
      </w:r>
      <w:r>
        <w:rPr>
          <w:rFonts w:hint="eastAsia" w:ascii="仿宋" w:hAnsi="仿宋" w:eastAsia="仿宋" w:cs="仿宋"/>
          <w:sz w:val="32"/>
          <w:szCs w:val="32"/>
        </w:rPr>
        <w:t>3</w:t>
      </w:r>
    </w:p>
    <w:p w14:paraId="3D92CA6D">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sz w:val="32"/>
          <w:szCs w:val="32"/>
        </w:rPr>
        <w:t>三、支出决算公开表</w:t>
      </w:r>
      <w:r>
        <w:rPr>
          <w:rFonts w:hint="eastAsia" w:ascii="仿宋" w:hAnsi="仿宋" w:eastAsia="仿宋" w:cs="仿宋"/>
          <w:sz w:val="32"/>
          <w:szCs w:val="32"/>
        </w:rPr>
        <w:tab/>
      </w:r>
      <w:r>
        <w:rPr>
          <w:rFonts w:hint="eastAsia" w:ascii="仿宋" w:hAnsi="仿宋" w:eastAsia="仿宋" w:cs="仿宋"/>
          <w:sz w:val="32"/>
          <w:szCs w:val="32"/>
        </w:rPr>
        <w:t>3</w:t>
      </w:r>
    </w:p>
    <w:p w14:paraId="1F1F4AEA">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sz w:val="32"/>
          <w:szCs w:val="32"/>
        </w:rPr>
        <w:t>四、财政拨款收入支出决算公开表</w:t>
      </w:r>
      <w:r>
        <w:rPr>
          <w:rFonts w:hint="eastAsia" w:ascii="仿宋" w:hAnsi="仿宋" w:eastAsia="仿宋" w:cs="仿宋"/>
          <w:sz w:val="32"/>
          <w:szCs w:val="32"/>
        </w:rPr>
        <w:tab/>
      </w:r>
      <w:r>
        <w:rPr>
          <w:rFonts w:hint="eastAsia" w:ascii="仿宋" w:hAnsi="仿宋" w:eastAsia="仿宋" w:cs="仿宋"/>
          <w:sz w:val="32"/>
          <w:szCs w:val="32"/>
        </w:rPr>
        <w:t>3</w:t>
      </w:r>
    </w:p>
    <w:p w14:paraId="093FAE98">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sz w:val="32"/>
          <w:szCs w:val="32"/>
        </w:rPr>
        <w:t>五、一般公共预算财政拨款收入支出决算公开表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t>3</w:t>
      </w:r>
    </w:p>
    <w:p w14:paraId="1341A7C3">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sz w:val="32"/>
          <w:szCs w:val="32"/>
        </w:rPr>
        <w:t>六、一般公共预算财政拨款基本支出决算公开表</w:t>
      </w:r>
      <w:r>
        <w:rPr>
          <w:rFonts w:hint="eastAsia" w:ascii="仿宋" w:hAnsi="仿宋" w:eastAsia="仿宋" w:cs="仿宋"/>
          <w:sz w:val="32"/>
          <w:szCs w:val="32"/>
        </w:rPr>
        <w:tab/>
      </w:r>
      <w:r>
        <w:rPr>
          <w:rFonts w:hint="eastAsia" w:ascii="仿宋" w:hAnsi="仿宋" w:eastAsia="仿宋" w:cs="仿宋"/>
          <w:sz w:val="32"/>
          <w:szCs w:val="32"/>
        </w:rPr>
        <w:t>3</w:t>
      </w:r>
    </w:p>
    <w:p w14:paraId="70D269F2">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sz w:val="32"/>
          <w:szCs w:val="32"/>
        </w:rPr>
        <w:t>七、政府性基金预算财政拨款收入支出决算公开表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t>3</w:t>
      </w:r>
    </w:p>
    <w:p w14:paraId="75E5BB19">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sz w:val="32"/>
          <w:szCs w:val="32"/>
        </w:rPr>
        <w:t>八、国有资本经营预算财政拨款收入支出决算公开表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t>3</w:t>
      </w:r>
    </w:p>
    <w:p w14:paraId="38B5F448">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sz w:val="32"/>
          <w:szCs w:val="32"/>
        </w:rPr>
        <w:t>九、一般公共预算财政拨款“三公”经费支出决算公开表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t>3</w:t>
      </w:r>
    </w:p>
    <w:p w14:paraId="6A62F4D0">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sz w:val="32"/>
          <w:szCs w:val="32"/>
        </w:rPr>
        <w:t>十、政府性基金预算财政拨款“三公”经费支出决算公开表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t>3</w:t>
      </w:r>
    </w:p>
    <w:p w14:paraId="4FBDFAE5">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sz w:val="32"/>
          <w:szCs w:val="32"/>
        </w:rPr>
        <w:t>十一、国有资本经营预算财政拨款“三公”经费支出决算公开表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t>3</w:t>
      </w:r>
    </w:p>
    <w:p w14:paraId="644DA0BD">
      <w:pPr>
        <w:pStyle w:val="7"/>
        <w:shd w:val="clear" w:color="auto" w:fill="FFFFFF"/>
        <w:tabs>
          <w:tab w:val="right" w:leader="dot" w:pos="8306"/>
        </w:tabs>
        <w:rPr>
          <w:rFonts w:hint="eastAsia"/>
          <w:sz w:val="32"/>
          <w:szCs w:val="32"/>
        </w:rPr>
      </w:pPr>
      <w:r>
        <w:rPr>
          <w:rFonts w:hint="eastAsia" w:ascii="黑体" w:hAnsi="黑体" w:eastAsia="黑体" w:cs="黑体"/>
          <w:sz w:val="32"/>
          <w:szCs w:val="32"/>
        </w:rPr>
        <w:t>第三部分</w:t>
      </w:r>
      <w:r>
        <w:rPr>
          <w:rFonts w:hint="eastAsia" w:ascii="黑体" w:hAnsi="ˎ̥" w:eastAsia="黑体"/>
          <w:sz w:val="32"/>
          <w:szCs w:val="32"/>
        </w:rPr>
        <w:t>海南青皮林省级自然保护区202</w:t>
      </w:r>
      <w:r>
        <w:rPr>
          <w:rFonts w:hint="eastAsia" w:ascii="黑体" w:hAnsi="ˎ̥" w:eastAsia="黑体"/>
          <w:sz w:val="32"/>
          <w:szCs w:val="32"/>
          <w:lang w:val="en-US" w:eastAsia="zh-CN"/>
        </w:rPr>
        <w:t>4</w:t>
      </w:r>
      <w:r>
        <w:rPr>
          <w:rFonts w:hint="eastAsia" w:ascii="黑体" w:hAnsi="ˎ̥" w:eastAsia="黑体"/>
          <w:sz w:val="32"/>
          <w:szCs w:val="32"/>
        </w:rPr>
        <w:t>年度部门决算情况说明</w:t>
      </w:r>
      <w:r>
        <w:rPr>
          <w:sz w:val="32"/>
          <w:szCs w:val="32"/>
        </w:rPr>
        <w:tab/>
      </w:r>
      <w:r>
        <w:rPr>
          <w:sz w:val="32"/>
          <w:szCs w:val="32"/>
        </w:rPr>
        <w:t>4</w:t>
      </w:r>
    </w:p>
    <w:p w14:paraId="601A42EE">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bCs/>
          <w:sz w:val="32"/>
          <w:szCs w:val="32"/>
        </w:rPr>
        <w:t>一、收入支出决算总体情况说明</w:t>
      </w:r>
      <w:r>
        <w:rPr>
          <w:rFonts w:hint="eastAsia" w:ascii="仿宋" w:hAnsi="仿宋" w:eastAsia="仿宋" w:cs="仿宋"/>
          <w:sz w:val="32"/>
          <w:szCs w:val="32"/>
        </w:rPr>
        <w:tab/>
      </w:r>
      <w:r>
        <w:rPr>
          <w:rFonts w:hint="eastAsia" w:ascii="仿宋" w:hAnsi="仿宋" w:eastAsia="仿宋" w:cs="仿宋"/>
          <w:sz w:val="32"/>
          <w:szCs w:val="32"/>
        </w:rPr>
        <w:t>4</w:t>
      </w:r>
    </w:p>
    <w:p w14:paraId="05A282D8">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t>5</w:t>
      </w:r>
    </w:p>
    <w:p w14:paraId="156AB6C8">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t>5</w:t>
      </w:r>
    </w:p>
    <w:p w14:paraId="7799020C">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rPr>
        <w:t>5</w:t>
      </w:r>
    </w:p>
    <w:p w14:paraId="45EFFCA2">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6</w:t>
      </w:r>
    </w:p>
    <w:p w14:paraId="12A8D9E1">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445D42C8">
      <w:pPr>
        <w:pStyle w:val="9"/>
        <w:numPr>
          <w:ilvl w:val="0"/>
          <w:numId w:val="1"/>
        </w:numPr>
        <w:shd w:val="clear" w:color="auto" w:fill="FFFFFF"/>
        <w:tabs>
          <w:tab w:val="right" w:leader="dot" w:pos="8306"/>
          <w:tab w:val="clear" w:pos="720"/>
        </w:tabs>
        <w:ind w:left="0" w:firstLine="0"/>
        <w:rPr>
          <w:rFonts w:hint="eastAsia" w:ascii="仿宋" w:hAnsi="仿宋" w:eastAsia="仿宋" w:cs="仿宋"/>
          <w:sz w:val="32"/>
          <w:szCs w:val="32"/>
        </w:rPr>
      </w:pPr>
      <w:r>
        <w:rPr>
          <w:rFonts w:hint="eastAsia" w:ascii="仿宋" w:hAnsi="仿宋" w:eastAsia="仿宋" w:cs="仿宋"/>
          <w:bCs/>
          <w:sz w:val="32"/>
          <w:szCs w:val="32"/>
        </w:rPr>
        <w:t>政府性基金预算财政拨款收入支出决算情况说明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372C13B9">
      <w:pPr>
        <w:pStyle w:val="9"/>
        <w:numPr>
          <w:ilvl w:val="0"/>
          <w:numId w:val="1"/>
        </w:numPr>
        <w:shd w:val="clear" w:color="auto" w:fill="FFFFFF"/>
        <w:tabs>
          <w:tab w:val="right" w:leader="dot" w:pos="8306"/>
          <w:tab w:val="clear" w:pos="720"/>
        </w:tabs>
        <w:ind w:left="0" w:firstLine="0"/>
        <w:rPr>
          <w:rFonts w:hint="eastAsia" w:ascii="仿宋" w:hAnsi="仿宋" w:eastAsia="仿宋" w:cs="仿宋"/>
          <w:sz w:val="32"/>
          <w:szCs w:val="32"/>
        </w:rPr>
      </w:pPr>
      <w:r>
        <w:rPr>
          <w:rFonts w:hint="eastAsia" w:ascii="仿宋" w:hAnsi="仿宋" w:eastAsia="仿宋" w:cs="仿宋"/>
          <w:bCs/>
          <w:sz w:val="32"/>
          <w:szCs w:val="32"/>
        </w:rPr>
        <w:t>国有资本经营预算财政拨款收入支出决算情况说明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484313BB">
      <w:pPr>
        <w:shd w:val="clear" w:color="auto" w:fill="FFFFFF"/>
        <w:spacing w:before="100" w:beforeAutospacing="1" w:after="100" w:afterAutospacing="1"/>
        <w:rPr>
          <w:rFonts w:hint="eastAsia" w:ascii="仿宋" w:hAnsi="仿宋" w:eastAsia="仿宋" w:cs="仿宋"/>
          <w:sz w:val="32"/>
          <w:szCs w:val="32"/>
        </w:rPr>
      </w:pPr>
      <w:r>
        <w:rPr>
          <w:rFonts w:hint="eastAsia" w:ascii="仿宋" w:hAnsi="仿宋" w:eastAsia="仿宋" w:cs="仿宋"/>
          <w:bCs/>
          <w:sz w:val="32"/>
          <w:szCs w:val="32"/>
        </w:rPr>
        <w:t>九、一般公共预算财政拨款“三公”经费支出决算情况说明</w:t>
      </w:r>
    </w:p>
    <w:p w14:paraId="5AFFCDD3">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8</w:t>
      </w:r>
    </w:p>
    <w:p w14:paraId="24019CD1">
      <w:pPr>
        <w:shd w:val="clear" w:color="auto" w:fill="FFFFFF"/>
        <w:spacing w:before="100" w:beforeAutospacing="1" w:after="100" w:afterAutospacing="1"/>
        <w:rPr>
          <w:rFonts w:hint="eastAsia" w:ascii="仿宋" w:hAnsi="仿宋" w:eastAsia="仿宋" w:cs="仿宋"/>
          <w:sz w:val="32"/>
          <w:szCs w:val="32"/>
        </w:rPr>
      </w:pPr>
      <w:r>
        <w:rPr>
          <w:rFonts w:hint="eastAsia" w:ascii="仿宋" w:hAnsi="仿宋" w:eastAsia="仿宋" w:cs="仿宋"/>
          <w:bCs/>
          <w:sz w:val="32"/>
          <w:szCs w:val="32"/>
        </w:rPr>
        <w:t>十、政府性基金预算财政拨款“三公”经费支出决算情况说明</w:t>
      </w:r>
    </w:p>
    <w:p w14:paraId="4D553933">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10</w:t>
      </w:r>
    </w:p>
    <w:p w14:paraId="24172713">
      <w:pPr>
        <w:shd w:val="clear" w:color="auto" w:fill="FFFFFF"/>
        <w:spacing w:before="100" w:beforeAutospacing="1" w:after="100" w:afterAutospacing="1"/>
        <w:rPr>
          <w:rFonts w:hint="eastAsia" w:ascii="仿宋" w:hAnsi="仿宋" w:eastAsia="仿宋" w:cs="仿宋"/>
          <w:sz w:val="32"/>
          <w:szCs w:val="32"/>
        </w:rPr>
      </w:pPr>
      <w:r>
        <w:rPr>
          <w:rFonts w:hint="eastAsia" w:ascii="仿宋" w:hAnsi="仿宋" w:eastAsia="仿宋" w:cs="仿宋"/>
          <w:bCs/>
          <w:sz w:val="32"/>
          <w:szCs w:val="32"/>
        </w:rPr>
        <w:t>十一、国有资本经营预算财政拨款“三公”经费支出决算情况说明</w:t>
      </w:r>
    </w:p>
    <w:p w14:paraId="58C06165">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10</w:t>
      </w:r>
    </w:p>
    <w:p w14:paraId="22FC79CD">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bCs/>
          <w:sz w:val="32"/>
          <w:szCs w:val="32"/>
        </w:rPr>
        <w:t>十二、预算绩效情况说明</w:t>
      </w:r>
      <w:r>
        <w:rPr>
          <w:rFonts w:hint="eastAsia" w:ascii="仿宋" w:hAnsi="仿宋" w:eastAsia="仿宋" w:cs="仿宋"/>
          <w:sz w:val="32"/>
          <w:szCs w:val="32"/>
        </w:rPr>
        <w:tab/>
      </w:r>
      <w:r>
        <w:rPr>
          <w:rFonts w:hint="eastAsia" w:ascii="仿宋" w:hAnsi="仿宋" w:eastAsia="仿宋" w:cs="仿宋"/>
          <w:sz w:val="32"/>
          <w:szCs w:val="32"/>
        </w:rPr>
        <w:t>11</w:t>
      </w:r>
    </w:p>
    <w:p w14:paraId="5AEBBAC6">
      <w:pPr>
        <w:pStyle w:val="9"/>
        <w:shd w:val="clear" w:color="auto" w:fill="FFFFFF"/>
        <w:tabs>
          <w:tab w:val="right" w:leader="dot" w:pos="8306"/>
        </w:tabs>
        <w:rPr>
          <w:rFonts w:hint="eastAsia" w:ascii="仿宋" w:hAnsi="仿宋" w:eastAsia="仿宋" w:cs="仿宋"/>
          <w:sz w:val="32"/>
          <w:szCs w:val="32"/>
        </w:rPr>
      </w:pPr>
      <w:r>
        <w:rPr>
          <w:rFonts w:hint="eastAsia" w:ascii="仿宋" w:hAnsi="仿宋" w:eastAsia="仿宋" w:cs="仿宋"/>
          <w:bCs/>
          <w:sz w:val="32"/>
          <w:szCs w:val="32"/>
        </w:rPr>
        <w:t>十三、其他重要事项情况说明</w:t>
      </w:r>
      <w:r>
        <w:rPr>
          <w:rFonts w:hint="eastAsia" w:ascii="仿宋" w:hAnsi="仿宋" w:eastAsia="仿宋" w:cs="仿宋"/>
          <w:sz w:val="32"/>
          <w:szCs w:val="32"/>
        </w:rPr>
        <w:tab/>
      </w:r>
      <w:r>
        <w:rPr>
          <w:rFonts w:hint="eastAsia" w:ascii="仿宋" w:hAnsi="仿宋" w:eastAsia="仿宋" w:cs="仿宋"/>
          <w:sz w:val="32"/>
          <w:szCs w:val="32"/>
        </w:rPr>
        <w:t>11</w:t>
      </w:r>
    </w:p>
    <w:p w14:paraId="6FC75854">
      <w:pPr>
        <w:pStyle w:val="7"/>
        <w:shd w:val="clear" w:color="auto" w:fill="FFFFFF"/>
        <w:tabs>
          <w:tab w:val="right" w:leader="dot" w:pos="8306"/>
        </w:tabs>
        <w:rPr>
          <w:rFonts w:hint="eastAsia"/>
          <w:sz w:val="32"/>
          <w:szCs w:val="32"/>
        </w:rPr>
      </w:pP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0"/>
      <w:bookmarkEnd w:id="1"/>
      <w:r>
        <w:rPr>
          <w:sz w:val="32"/>
          <w:szCs w:val="32"/>
        </w:rPr>
        <w:t>3</w:t>
      </w:r>
    </w:p>
    <w:p w14:paraId="44624FF1">
      <w:pPr>
        <w:shd w:val="clear" w:color="auto" w:fill="FFFFFF"/>
        <w:spacing w:before="100" w:beforeAutospacing="1" w:after="100" w:afterAutospacing="1"/>
        <w:rPr>
          <w:rFonts w:hint="eastAsia" w:ascii="黑体" w:hAnsi="黑体" w:eastAsia="黑体" w:cs="黑体"/>
          <w:sz w:val="32"/>
          <w:szCs w:val="32"/>
        </w:rPr>
      </w:pPr>
    </w:p>
    <w:p w14:paraId="6134A2C1">
      <w:pPr>
        <w:shd w:val="clear" w:color="auto" w:fill="FFFFFF"/>
        <w:spacing w:before="100" w:beforeAutospacing="1" w:after="100" w:afterAutospacing="1"/>
        <w:jc w:val="center"/>
        <w:rPr>
          <w:rFonts w:hint="eastAsia" w:ascii="黑体" w:hAnsi="ˎ̥" w:eastAsia="黑体"/>
          <w:b/>
          <w:sz w:val="32"/>
          <w:szCs w:val="32"/>
        </w:rPr>
      </w:pPr>
    </w:p>
    <w:p w14:paraId="269F36C6">
      <w:pPr>
        <w:shd w:val="clear" w:color="auto" w:fill="FFFFFF"/>
        <w:spacing w:before="100" w:beforeAutospacing="1" w:after="100" w:afterAutospacing="1"/>
        <w:jc w:val="center"/>
        <w:rPr>
          <w:rFonts w:hint="eastAsia" w:ascii="黑体" w:hAnsi="ˎ̥" w:eastAsia="黑体"/>
          <w:sz w:val="32"/>
          <w:szCs w:val="32"/>
        </w:rPr>
      </w:pPr>
      <w:bookmarkStart w:id="2" w:name="_Toc1704_WPSOffice_Level1"/>
      <w:bookmarkStart w:id="3" w:name="_Toc22941_WPSOffice_Level1"/>
      <w:bookmarkStart w:id="4" w:name="_Toc32433_WPSOffice_Level1"/>
      <w:bookmarkStart w:id="5" w:name="_Toc23465_WPSOffice_Level1"/>
      <w:bookmarkStart w:id="6" w:name="_Toc10049_WPSOffice_Level1"/>
      <w:bookmarkStart w:id="7" w:name="_Toc10720_WPSOffice_Level1"/>
      <w:bookmarkStart w:id="8" w:name="_Toc24238_WPSOffice_Level2"/>
      <w:bookmarkStart w:id="9" w:name="_Toc14159_WPSOffice_Level2"/>
      <w:bookmarkStart w:id="10" w:name="_Toc32622_WPSOffice_Level2"/>
      <w:bookmarkStart w:id="11" w:name="_Toc26580_WPSOffice_Level2"/>
      <w:bookmarkStart w:id="12" w:name="_Toc20205_WPSOffice_Level2"/>
      <w:bookmarkStart w:id="13" w:name="_Toc20274_WPSOffice_Level2"/>
      <w:r>
        <w:rPr>
          <w:rFonts w:hint="eastAsia" w:ascii="黑体" w:hAnsi="ˎ̥" w:eastAsia="黑体"/>
          <w:sz w:val="32"/>
          <w:szCs w:val="32"/>
        </w:rPr>
        <w:t>第一部分海南青皮林省级自然保护区管理站概况</w:t>
      </w:r>
      <w:bookmarkEnd w:id="2"/>
      <w:bookmarkEnd w:id="3"/>
      <w:bookmarkEnd w:id="4"/>
      <w:bookmarkEnd w:id="5"/>
      <w:bookmarkEnd w:id="6"/>
      <w:bookmarkEnd w:id="7"/>
    </w:p>
    <w:p w14:paraId="27CEA8E4">
      <w:pPr>
        <w:shd w:val="clear" w:color="auto" w:fill="FFFFFF"/>
        <w:spacing w:before="100" w:beforeAutospacing="1" w:after="100" w:afterAutospacing="1"/>
        <w:ind w:firstLine="640" w:firstLineChars="200"/>
        <w:rPr>
          <w:rFonts w:hint="eastAsia" w:ascii="楷体" w:hAnsi="楷体" w:eastAsia="楷体" w:cs="楷体"/>
          <w:sz w:val="32"/>
          <w:szCs w:val="32"/>
        </w:rPr>
      </w:pPr>
    </w:p>
    <w:p w14:paraId="6BAA6F16">
      <w:pPr>
        <w:shd w:val="clear" w:color="auto" w:fill="FFFFFF"/>
        <w:spacing w:before="100" w:beforeAutospacing="1" w:after="100" w:afterAutospacing="1"/>
        <w:ind w:firstLine="640" w:firstLineChars="200"/>
        <w:rPr>
          <w:rFonts w:hint="eastAsia" w:ascii="黑体" w:hAnsi="黑体" w:eastAsia="黑体" w:cs="黑体"/>
          <w:sz w:val="32"/>
          <w:szCs w:val="32"/>
        </w:rPr>
      </w:pPr>
      <w:r>
        <w:rPr>
          <w:rFonts w:hint="eastAsia" w:ascii="黑体" w:hAnsi="黑体" w:eastAsia="黑体" w:cs="黑体"/>
          <w:sz w:val="32"/>
          <w:szCs w:val="32"/>
        </w:rPr>
        <w:t>一、</w:t>
      </w:r>
      <w:bookmarkEnd w:id="8"/>
      <w:r>
        <w:rPr>
          <w:rFonts w:hint="eastAsia" w:ascii="黑体" w:hAnsi="ˎ̥" w:eastAsia="黑体"/>
          <w:sz w:val="32"/>
          <w:szCs w:val="32"/>
        </w:rPr>
        <w:t>海南青皮林省级自然保护区管理站</w:t>
      </w:r>
      <w:r>
        <w:rPr>
          <w:rFonts w:hint="eastAsia" w:ascii="黑体" w:hAnsi="黑体" w:eastAsia="黑体" w:cs="黑体"/>
          <w:sz w:val="32"/>
          <w:szCs w:val="32"/>
        </w:rPr>
        <w:t>职责</w:t>
      </w:r>
      <w:bookmarkEnd w:id="9"/>
      <w:bookmarkEnd w:id="10"/>
      <w:bookmarkEnd w:id="11"/>
      <w:bookmarkEnd w:id="12"/>
      <w:bookmarkEnd w:id="13"/>
    </w:p>
    <w:p w14:paraId="2EB585F2">
      <w:pPr>
        <w:pStyle w:val="4"/>
        <w:shd w:val="clear" w:color="auto" w:fill="FFFFFF"/>
        <w:spacing w:line="360" w:lineRule="atLeast"/>
        <w:ind w:firstLine="600" w:firstLineChars="200"/>
        <w:rPr>
          <w:rFonts w:hint="eastAsia" w:ascii="仿宋" w:hAnsi="仿宋" w:eastAsia="仿宋"/>
          <w:color w:val="333333"/>
          <w:sz w:val="30"/>
          <w:szCs w:val="30"/>
        </w:rPr>
      </w:pPr>
      <w:r>
        <w:rPr>
          <w:rFonts w:hint="eastAsia" w:ascii="仿宋" w:hAnsi="仿宋" w:eastAsia="仿宋"/>
          <w:color w:val="333333"/>
          <w:sz w:val="30"/>
          <w:szCs w:val="30"/>
        </w:rPr>
        <w:t>㈠负责保护区森林资源的保护和建设管理工作。</w:t>
      </w:r>
    </w:p>
    <w:p w14:paraId="64030B6D">
      <w:pPr>
        <w:pStyle w:val="4"/>
        <w:shd w:val="clear" w:color="auto" w:fill="FFFFFF"/>
        <w:spacing w:line="360" w:lineRule="atLeast"/>
        <w:ind w:firstLine="600" w:firstLineChars="200"/>
        <w:rPr>
          <w:rFonts w:hint="eastAsia" w:ascii="仿宋" w:hAnsi="仿宋" w:eastAsia="仿宋"/>
          <w:color w:val="333333"/>
          <w:sz w:val="30"/>
          <w:szCs w:val="30"/>
        </w:rPr>
      </w:pPr>
      <w:r>
        <w:rPr>
          <w:rFonts w:hint="eastAsia" w:ascii="仿宋" w:hAnsi="仿宋" w:eastAsia="仿宋"/>
          <w:color w:val="333333"/>
          <w:sz w:val="30"/>
          <w:szCs w:val="30"/>
        </w:rPr>
        <w:t>㈡负责保护区森林资源科研监测工作。</w:t>
      </w:r>
    </w:p>
    <w:p w14:paraId="62177F13">
      <w:pPr>
        <w:pStyle w:val="4"/>
        <w:shd w:val="clear" w:color="auto" w:fill="FFFFFF"/>
        <w:spacing w:line="360" w:lineRule="atLeast"/>
        <w:ind w:firstLine="600" w:firstLineChars="200"/>
        <w:rPr>
          <w:rFonts w:hint="eastAsia" w:ascii="仿宋" w:hAnsi="仿宋" w:eastAsia="仿宋"/>
          <w:color w:val="333333"/>
          <w:sz w:val="30"/>
          <w:szCs w:val="30"/>
        </w:rPr>
      </w:pPr>
      <w:r>
        <w:rPr>
          <w:rFonts w:hint="eastAsia" w:ascii="仿宋" w:hAnsi="仿宋" w:eastAsia="仿宋"/>
          <w:color w:val="333333"/>
          <w:sz w:val="30"/>
          <w:szCs w:val="30"/>
        </w:rPr>
        <w:t>㈢负责保护区生态环境宣传教育工作。</w:t>
      </w:r>
    </w:p>
    <w:p w14:paraId="12CFAB26">
      <w:pPr>
        <w:pStyle w:val="4"/>
        <w:shd w:val="clear" w:color="auto" w:fill="FFFFFF"/>
        <w:spacing w:line="360" w:lineRule="atLeast"/>
        <w:ind w:firstLine="600" w:firstLineChars="200"/>
        <w:rPr>
          <w:rFonts w:hint="eastAsia" w:ascii="仿宋" w:hAnsi="仿宋" w:eastAsia="仿宋"/>
          <w:color w:val="333333"/>
          <w:sz w:val="30"/>
          <w:szCs w:val="30"/>
        </w:rPr>
      </w:pPr>
      <w:r>
        <w:rPr>
          <w:rFonts w:hint="eastAsia" w:ascii="仿宋" w:hAnsi="仿宋" w:eastAsia="仿宋"/>
          <w:color w:val="333333"/>
          <w:sz w:val="30"/>
          <w:szCs w:val="30"/>
        </w:rPr>
        <w:t>㈣负责协调社区开展森林资源共管工作。</w:t>
      </w:r>
    </w:p>
    <w:p w14:paraId="7942264B">
      <w:pPr>
        <w:spacing w:before="100" w:beforeAutospacing="1" w:after="100" w:afterAutospacing="1"/>
        <w:ind w:firstLine="600" w:firstLineChars="200"/>
        <w:rPr>
          <w:rFonts w:hint="eastAsia" w:ascii="黑体" w:hAnsi="黑体" w:eastAsia="黑体" w:cs="黑体"/>
          <w:sz w:val="32"/>
          <w:szCs w:val="32"/>
        </w:rPr>
      </w:pPr>
      <w:r>
        <w:rPr>
          <w:rFonts w:hint="eastAsia" w:ascii="仿宋" w:hAnsi="仿宋" w:eastAsia="仿宋"/>
          <w:color w:val="333333"/>
          <w:sz w:val="30"/>
          <w:szCs w:val="30"/>
        </w:rPr>
        <w:t>㈤承办上级主管部门交办的其他工作。</w:t>
      </w:r>
    </w:p>
    <w:p w14:paraId="41FC2C2B">
      <w:pPr>
        <w:shd w:val="clear" w:color="auto" w:fill="FFFFFF"/>
        <w:spacing w:before="100" w:beforeAutospacing="1" w:after="100" w:afterAutospacing="1"/>
        <w:ind w:firstLine="960" w:firstLineChars="300"/>
        <w:rPr>
          <w:rFonts w:hint="eastAsia" w:ascii="黑体" w:hAnsi="黑体" w:eastAsia="黑体" w:cs="黑体"/>
          <w:sz w:val="32"/>
          <w:szCs w:val="32"/>
        </w:rPr>
      </w:pPr>
      <w:bookmarkStart w:id="14" w:name="_Toc24474_WPSOffice_Level2"/>
      <w:bookmarkStart w:id="15" w:name="_Toc6572_WPSOffice_Level2"/>
      <w:bookmarkStart w:id="16" w:name="_Toc24059_WPSOffice_Level2"/>
      <w:bookmarkStart w:id="17" w:name="_Toc17796_WPSOffice_Level2"/>
      <w:bookmarkStart w:id="18" w:name="_Toc4833_WPSOffice_Level2"/>
      <w:r>
        <w:rPr>
          <w:rFonts w:hint="eastAsia" w:ascii="黑体" w:hAnsi="黑体" w:eastAsia="黑体" w:cs="黑体"/>
          <w:sz w:val="32"/>
          <w:szCs w:val="32"/>
        </w:rPr>
        <w:t>二、机构设置</w:t>
      </w:r>
      <w:bookmarkEnd w:id="14"/>
      <w:bookmarkEnd w:id="15"/>
      <w:bookmarkEnd w:id="16"/>
      <w:bookmarkEnd w:id="17"/>
      <w:bookmarkEnd w:id="18"/>
    </w:p>
    <w:p w14:paraId="18DD4E06">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海南青皮林省级自然保护区管理站纳入海南省林业局（部门）202</w:t>
      </w:r>
      <w:r>
        <w:rPr>
          <w:rFonts w:hint="eastAsia" w:ascii="仿宋_GB2312" w:hAnsi="ˎ̥" w:eastAsia="仿宋_GB2312"/>
          <w:sz w:val="32"/>
          <w:szCs w:val="32"/>
          <w:lang w:val="en-US" w:eastAsia="zh-CN"/>
        </w:rPr>
        <w:t>4</w:t>
      </w:r>
      <w:r>
        <w:rPr>
          <w:rFonts w:hint="eastAsia" w:ascii="仿宋_GB2312" w:hAnsi="ˎ̥" w:eastAsia="仿宋_GB2312"/>
          <w:sz w:val="32"/>
          <w:szCs w:val="32"/>
        </w:rPr>
        <w:t>年度部门决算编制范围的二级预算单位;单位编制人员10名，正职领导1名，副职领导2名，</w:t>
      </w:r>
      <w:r>
        <w:rPr>
          <w:rFonts w:hint="eastAsia" w:ascii="仿宋_GB2312" w:hAnsi="ˎ̥" w:eastAsia="仿宋_GB2312"/>
          <w:sz w:val="32"/>
          <w:szCs w:val="32"/>
          <w:lang w:val="en-US" w:eastAsia="zh-CN"/>
        </w:rPr>
        <w:t>管理岗2名，</w:t>
      </w:r>
      <w:r>
        <w:rPr>
          <w:rFonts w:hint="eastAsia" w:ascii="仿宋_GB2312" w:hAnsi="ˎ̥" w:eastAsia="仿宋_GB2312"/>
          <w:sz w:val="32"/>
          <w:szCs w:val="32"/>
        </w:rPr>
        <w:t>技术</w:t>
      </w:r>
      <w:r>
        <w:rPr>
          <w:rFonts w:hint="eastAsia" w:ascii="仿宋_GB2312" w:hAnsi="ˎ̥" w:eastAsia="仿宋_GB2312"/>
          <w:sz w:val="32"/>
          <w:szCs w:val="32"/>
          <w:lang w:val="en-US" w:eastAsia="zh-CN"/>
        </w:rPr>
        <w:t>岗1</w:t>
      </w:r>
      <w:r>
        <w:rPr>
          <w:rFonts w:hint="eastAsia" w:ascii="仿宋_GB2312" w:hAnsi="ˎ̥" w:eastAsia="仿宋_GB2312"/>
          <w:sz w:val="32"/>
          <w:szCs w:val="32"/>
        </w:rPr>
        <w:t>名，事业普工</w:t>
      </w:r>
      <w:r>
        <w:rPr>
          <w:rFonts w:hint="eastAsia" w:ascii="仿宋_GB2312" w:hAnsi="ˎ̥" w:eastAsia="仿宋_GB2312"/>
          <w:sz w:val="32"/>
          <w:szCs w:val="32"/>
          <w:lang w:val="en-US" w:eastAsia="zh-CN"/>
        </w:rPr>
        <w:t>2</w:t>
      </w:r>
      <w:r>
        <w:rPr>
          <w:rFonts w:hint="eastAsia" w:ascii="仿宋_GB2312" w:hAnsi="ˎ̥" w:eastAsia="仿宋_GB2312"/>
          <w:sz w:val="32"/>
          <w:szCs w:val="32"/>
        </w:rPr>
        <w:t>名。</w:t>
      </w:r>
      <w:bookmarkStart w:id="123" w:name="_GoBack"/>
      <w:bookmarkEnd w:id="123"/>
    </w:p>
    <w:p w14:paraId="31B77886">
      <w:pPr>
        <w:shd w:val="clear" w:color="auto" w:fill="FFFFFF"/>
        <w:spacing w:before="100" w:beforeAutospacing="1" w:after="100" w:afterAutospacing="1"/>
        <w:rPr>
          <w:rFonts w:hint="eastAsia" w:ascii="黑体" w:hAnsi="ˎ̥" w:eastAsia="黑体"/>
          <w:sz w:val="32"/>
          <w:szCs w:val="32"/>
        </w:rPr>
      </w:pPr>
      <w:bookmarkStart w:id="19" w:name="_Toc30451_WPSOffice_Level1"/>
      <w:bookmarkStart w:id="20" w:name="_Toc8164_WPSOffice_Level1"/>
      <w:bookmarkStart w:id="21" w:name="_Toc6234_WPSOffice_Level1"/>
      <w:bookmarkStart w:id="22" w:name="_Toc30690_WPSOffice_Level1"/>
      <w:bookmarkStart w:id="23" w:name="_Toc28253_WPSOffice_Level1"/>
      <w:bookmarkStart w:id="24" w:name="_Toc15521_WPSOffice_Level1"/>
      <w:bookmarkStart w:id="25" w:name="_Toc32695_WPSOffice_Level2"/>
      <w:bookmarkStart w:id="26" w:name="_Toc8867_WPSOffice_Level2"/>
      <w:bookmarkStart w:id="27" w:name="_Toc6211_WPSOffice_Level2"/>
      <w:bookmarkStart w:id="28" w:name="_Toc11518_WPSOffice_Level2"/>
      <w:bookmarkStart w:id="29" w:name="_Toc32472_WPSOffice_Level2"/>
      <w:bookmarkStart w:id="30" w:name="_Toc4029_WPSOffice_Level2"/>
      <w:r>
        <w:rPr>
          <w:rFonts w:hint="eastAsia" w:ascii="黑体" w:hAnsi="ˎ̥" w:eastAsia="黑体"/>
          <w:sz w:val="32"/>
          <w:szCs w:val="32"/>
        </w:rPr>
        <w:t>第二部分  海南青皮林省级自然保护区202</w:t>
      </w:r>
      <w:r>
        <w:rPr>
          <w:rFonts w:hint="eastAsia" w:ascii="黑体" w:hAnsi="ˎ̥" w:eastAsia="黑体"/>
          <w:sz w:val="32"/>
          <w:szCs w:val="32"/>
          <w:lang w:val="en-US" w:eastAsia="zh-CN"/>
        </w:rPr>
        <w:t>4</w:t>
      </w:r>
      <w:r>
        <w:rPr>
          <w:rFonts w:hint="eastAsia" w:ascii="黑体" w:hAnsi="ˎ̥" w:eastAsia="黑体"/>
          <w:sz w:val="32"/>
          <w:szCs w:val="32"/>
        </w:rPr>
        <w:t>年度部门决算公开报表</w:t>
      </w:r>
      <w:bookmarkEnd w:id="19"/>
      <w:bookmarkEnd w:id="20"/>
      <w:bookmarkEnd w:id="21"/>
      <w:bookmarkEnd w:id="22"/>
      <w:bookmarkEnd w:id="23"/>
      <w:bookmarkEnd w:id="24"/>
    </w:p>
    <w:p w14:paraId="5DF05F7E">
      <w:pPr>
        <w:shd w:val="clear" w:color="auto" w:fill="FFFFFF"/>
        <w:spacing w:before="100" w:beforeAutospacing="1" w:after="100" w:afterAutospacing="1"/>
        <w:ind w:firstLine="645"/>
        <w:rPr>
          <w:rFonts w:hint="eastAsia" w:ascii="黑体" w:hAnsi="黑体" w:eastAsia="黑体" w:cs="黑体"/>
          <w:sz w:val="32"/>
          <w:szCs w:val="32"/>
        </w:rPr>
      </w:pPr>
      <w:r>
        <w:rPr>
          <w:rFonts w:hint="eastAsia" w:ascii="黑体" w:hAnsi="黑体" w:eastAsia="黑体" w:cs="黑体"/>
          <w:sz w:val="32"/>
          <w:szCs w:val="32"/>
        </w:rPr>
        <w:t>一、收入支出决算公开表（见正文附件）</w:t>
      </w:r>
      <w:bookmarkEnd w:id="25"/>
      <w:bookmarkEnd w:id="26"/>
      <w:bookmarkEnd w:id="27"/>
      <w:r>
        <w:rPr>
          <w:rFonts w:hint="eastAsia" w:ascii="黑体" w:hAnsi="黑体" w:eastAsia="黑体" w:cs="黑体"/>
          <w:sz w:val="32"/>
          <w:szCs w:val="32"/>
        </w:rPr>
        <w:t>。</w:t>
      </w:r>
      <w:bookmarkEnd w:id="28"/>
      <w:bookmarkEnd w:id="29"/>
      <w:bookmarkEnd w:id="30"/>
    </w:p>
    <w:p w14:paraId="731C000E">
      <w:pPr>
        <w:shd w:val="clear" w:color="auto" w:fill="FFFFFF"/>
        <w:spacing w:before="100" w:beforeAutospacing="1" w:after="100" w:afterAutospacing="1"/>
        <w:ind w:firstLine="645"/>
        <w:rPr>
          <w:rFonts w:hint="eastAsia" w:ascii="黑体" w:hAnsi="黑体" w:eastAsia="黑体" w:cs="黑体"/>
          <w:sz w:val="32"/>
          <w:szCs w:val="32"/>
        </w:rPr>
      </w:pPr>
      <w:bookmarkStart w:id="31" w:name="_Toc25608_WPSOffice_Level2"/>
      <w:bookmarkStart w:id="32" w:name="_Toc23139_WPSOffice_Level2"/>
      <w:bookmarkStart w:id="33" w:name="_Toc26621_WPSOffice_Level2"/>
      <w:bookmarkStart w:id="34" w:name="_Toc14349_WPSOffice_Level2"/>
      <w:bookmarkStart w:id="35" w:name="_Toc28622_WPSOffice_Level2"/>
      <w:bookmarkStart w:id="36" w:name="_Toc30334_WPSOffice_Level2"/>
      <w:r>
        <w:rPr>
          <w:rFonts w:hint="eastAsia" w:ascii="黑体" w:hAnsi="黑体" w:eastAsia="黑体" w:cs="黑体"/>
          <w:sz w:val="32"/>
          <w:szCs w:val="32"/>
        </w:rPr>
        <w:t>二、收入决算公开表（见正文附件）</w:t>
      </w:r>
      <w:bookmarkEnd w:id="31"/>
      <w:bookmarkEnd w:id="32"/>
      <w:bookmarkEnd w:id="33"/>
      <w:r>
        <w:rPr>
          <w:rFonts w:hint="eastAsia" w:ascii="黑体" w:hAnsi="黑体" w:eastAsia="黑体" w:cs="黑体"/>
          <w:sz w:val="32"/>
          <w:szCs w:val="32"/>
        </w:rPr>
        <w:t>。</w:t>
      </w:r>
      <w:bookmarkEnd w:id="34"/>
      <w:bookmarkEnd w:id="35"/>
      <w:bookmarkEnd w:id="36"/>
    </w:p>
    <w:p w14:paraId="6F5CBF3B">
      <w:pPr>
        <w:shd w:val="clear" w:color="auto" w:fill="FFFFFF"/>
        <w:spacing w:before="100" w:beforeAutospacing="1" w:after="100" w:afterAutospacing="1"/>
        <w:ind w:firstLine="645"/>
        <w:rPr>
          <w:rFonts w:hint="eastAsia" w:ascii="黑体" w:hAnsi="黑体" w:eastAsia="黑体" w:cs="黑体"/>
          <w:sz w:val="32"/>
          <w:szCs w:val="32"/>
        </w:rPr>
      </w:pPr>
      <w:bookmarkStart w:id="37" w:name="_Toc3262_WPSOffice_Level2"/>
      <w:bookmarkStart w:id="38" w:name="_Toc17626_WPSOffice_Level2"/>
      <w:bookmarkStart w:id="39" w:name="_Toc17858_WPSOffice_Level2"/>
      <w:bookmarkStart w:id="40" w:name="_Toc5489_WPSOffice_Level2"/>
      <w:bookmarkStart w:id="41" w:name="_Toc13854_WPSOffice_Level2"/>
      <w:bookmarkStart w:id="42" w:name="_Toc14658_WPSOffice_Level2"/>
      <w:r>
        <w:rPr>
          <w:rFonts w:hint="eastAsia" w:ascii="黑体" w:hAnsi="黑体" w:eastAsia="黑体" w:cs="黑体"/>
          <w:sz w:val="32"/>
          <w:szCs w:val="32"/>
        </w:rPr>
        <w:t>三、支出决算公开表（见正文附件）</w:t>
      </w:r>
      <w:bookmarkEnd w:id="37"/>
      <w:bookmarkEnd w:id="38"/>
      <w:bookmarkEnd w:id="39"/>
      <w:r>
        <w:rPr>
          <w:rFonts w:hint="eastAsia" w:ascii="黑体" w:hAnsi="黑体" w:eastAsia="黑体" w:cs="黑体"/>
          <w:sz w:val="32"/>
          <w:szCs w:val="32"/>
        </w:rPr>
        <w:t>。</w:t>
      </w:r>
      <w:bookmarkEnd w:id="40"/>
      <w:bookmarkEnd w:id="41"/>
      <w:bookmarkEnd w:id="42"/>
    </w:p>
    <w:p w14:paraId="2701E4E4">
      <w:pPr>
        <w:shd w:val="clear" w:color="auto" w:fill="FFFFFF"/>
        <w:spacing w:before="100" w:beforeAutospacing="1" w:after="100" w:afterAutospacing="1"/>
        <w:ind w:firstLine="645"/>
        <w:rPr>
          <w:rFonts w:hint="eastAsia" w:ascii="黑体" w:hAnsi="黑体" w:eastAsia="黑体" w:cs="黑体"/>
          <w:sz w:val="32"/>
          <w:szCs w:val="32"/>
        </w:rPr>
      </w:pPr>
      <w:bookmarkStart w:id="43" w:name="_Toc23591_WPSOffice_Level2"/>
      <w:bookmarkStart w:id="44" w:name="_Toc21415_WPSOffice_Level2"/>
      <w:bookmarkStart w:id="45" w:name="_Toc13701_WPSOffice_Level2"/>
      <w:bookmarkStart w:id="46" w:name="_Toc7988_WPSOffice_Level2"/>
      <w:bookmarkStart w:id="47" w:name="_Toc23493_WPSOffice_Level2"/>
      <w:bookmarkStart w:id="48" w:name="_Toc4265_WPSOffice_Level2"/>
      <w:r>
        <w:rPr>
          <w:rFonts w:hint="eastAsia" w:ascii="黑体" w:hAnsi="黑体" w:eastAsia="黑体" w:cs="黑体"/>
          <w:sz w:val="32"/>
          <w:szCs w:val="32"/>
        </w:rPr>
        <w:t>四、财政拨款收入支出决算公开表（见正文附件）</w:t>
      </w:r>
      <w:bookmarkEnd w:id="43"/>
      <w:bookmarkEnd w:id="44"/>
      <w:bookmarkEnd w:id="45"/>
      <w:r>
        <w:rPr>
          <w:rFonts w:hint="eastAsia" w:ascii="黑体" w:hAnsi="黑体" w:eastAsia="黑体" w:cs="黑体"/>
          <w:sz w:val="32"/>
          <w:szCs w:val="32"/>
        </w:rPr>
        <w:t>。</w:t>
      </w:r>
      <w:bookmarkEnd w:id="46"/>
      <w:bookmarkEnd w:id="47"/>
      <w:bookmarkEnd w:id="48"/>
    </w:p>
    <w:p w14:paraId="445548E7">
      <w:pPr>
        <w:shd w:val="clear" w:color="auto" w:fill="FFFFFF"/>
        <w:spacing w:before="100" w:beforeAutospacing="1" w:after="100" w:afterAutospacing="1"/>
        <w:ind w:firstLine="645"/>
        <w:rPr>
          <w:rFonts w:hint="eastAsia" w:ascii="黑体" w:hAnsi="黑体" w:eastAsia="黑体" w:cs="黑体"/>
          <w:sz w:val="32"/>
          <w:szCs w:val="32"/>
        </w:rPr>
      </w:pPr>
      <w:bookmarkStart w:id="49" w:name="_Toc7879_WPSOffice_Level2"/>
      <w:bookmarkStart w:id="50" w:name="_Toc23829_WPSOffice_Level2"/>
      <w:bookmarkStart w:id="51" w:name="_Toc22783_WPSOffice_Level2"/>
      <w:bookmarkStart w:id="52" w:name="_Toc25166_WPSOffice_Level2"/>
      <w:bookmarkStart w:id="53" w:name="_Toc2158_WPSOffice_Level2"/>
      <w:bookmarkStart w:id="54" w:name="_Toc13516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p>
    <w:p w14:paraId="26526B50">
      <w:pPr>
        <w:shd w:val="clear" w:color="auto" w:fill="FFFFFF"/>
        <w:spacing w:before="100" w:beforeAutospacing="1" w:after="100" w:afterAutospacing="1"/>
        <w:ind w:firstLine="1302" w:firstLineChars="407"/>
        <w:rPr>
          <w:rFonts w:hint="eastAsia" w:ascii="黑体" w:hAnsi="黑体" w:eastAsia="黑体" w:cs="黑体"/>
          <w:sz w:val="32"/>
          <w:szCs w:val="32"/>
        </w:rPr>
      </w:pPr>
      <w:r>
        <w:rPr>
          <w:rFonts w:hint="eastAsia" w:ascii="黑体" w:hAnsi="黑体" w:eastAsia="黑体" w:cs="黑体"/>
          <w:sz w:val="32"/>
          <w:szCs w:val="32"/>
        </w:rPr>
        <w:t>（见正文附件）</w:t>
      </w:r>
      <w:bookmarkEnd w:id="53"/>
      <w:bookmarkEnd w:id="54"/>
      <w:r>
        <w:rPr>
          <w:rFonts w:hint="eastAsia" w:ascii="黑体" w:hAnsi="黑体" w:eastAsia="黑体" w:cs="黑体"/>
          <w:sz w:val="32"/>
          <w:szCs w:val="32"/>
        </w:rPr>
        <w:t>。</w:t>
      </w:r>
    </w:p>
    <w:p w14:paraId="12592A76">
      <w:pPr>
        <w:shd w:val="clear" w:color="auto" w:fill="FFFFFF"/>
        <w:spacing w:before="100" w:beforeAutospacing="1" w:after="100" w:afterAutospacing="1"/>
        <w:ind w:firstLine="645"/>
        <w:rPr>
          <w:rFonts w:hint="eastAsia" w:ascii="黑体" w:hAnsi="黑体" w:eastAsia="黑体" w:cs="黑体"/>
          <w:sz w:val="32"/>
          <w:szCs w:val="32"/>
        </w:rPr>
      </w:pPr>
      <w:bookmarkStart w:id="55" w:name="_Toc17833_WPSOffice_Level2"/>
      <w:bookmarkStart w:id="56" w:name="_Toc2632_WPSOffice_Level2"/>
      <w:bookmarkStart w:id="57" w:name="_Toc5343_WPSOffice_Level2"/>
      <w:bookmarkStart w:id="58" w:name="_Toc17283_WPSOffice_Level2"/>
      <w:bookmarkStart w:id="59" w:name="_Toc25362_WPSOffice_Level2"/>
      <w:bookmarkStart w:id="60" w:name="_Toc8373_WPSOffice_Level2"/>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14:paraId="57151D68">
      <w:pPr>
        <w:shd w:val="clear" w:color="auto" w:fill="FFFFFF"/>
        <w:spacing w:before="100" w:beforeAutospacing="1" w:after="100" w:afterAutospacing="1"/>
        <w:ind w:firstLine="1280" w:firstLineChars="400"/>
        <w:rPr>
          <w:rFonts w:hint="eastAsia" w:ascii="黑体" w:hAnsi="黑体" w:eastAsia="黑体" w:cs="黑体"/>
          <w:sz w:val="32"/>
          <w:szCs w:val="32"/>
        </w:rPr>
      </w:pPr>
      <w:r>
        <w:rPr>
          <w:rFonts w:hint="eastAsia" w:ascii="黑体" w:hAnsi="黑体" w:eastAsia="黑体" w:cs="黑体"/>
          <w:sz w:val="32"/>
          <w:szCs w:val="32"/>
        </w:rPr>
        <w:t>（见正文附件）。</w:t>
      </w:r>
    </w:p>
    <w:p w14:paraId="373D3128">
      <w:pPr>
        <w:shd w:val="clear" w:color="auto" w:fill="FFFFFF"/>
        <w:spacing w:before="100" w:beforeAutospacing="1" w:after="100" w:afterAutospacing="1"/>
        <w:ind w:left="1210" w:leftChars="304" w:hanging="480" w:hangingChars="150"/>
        <w:rPr>
          <w:rFonts w:hint="eastAsia" w:ascii="黑体" w:hAnsi="黑体" w:eastAsia="黑体" w:cs="黑体"/>
          <w:sz w:val="32"/>
          <w:szCs w:val="32"/>
        </w:rPr>
      </w:pPr>
      <w:bookmarkStart w:id="61" w:name="_Toc13345_WPSOffice_Level2"/>
      <w:bookmarkStart w:id="62" w:name="_Toc11799_WPSOffice_Level2"/>
      <w:bookmarkStart w:id="63" w:name="_Toc5594_WPSOffice_Level2"/>
      <w:bookmarkStart w:id="64" w:name="_Toc21310_WPSOffice_Level2"/>
      <w:bookmarkStart w:id="65" w:name="_Toc6020_WPSOffice_Level2"/>
      <w:bookmarkStart w:id="66" w:name="_Toc1533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14:paraId="6315FCE4">
      <w:pPr>
        <w:shd w:val="clear" w:color="auto" w:fill="FFFFFF"/>
        <w:spacing w:before="100" w:beforeAutospacing="1" w:after="100" w:afterAutospacing="1"/>
        <w:ind w:left="1459" w:leftChars="608" w:firstLine="160" w:firstLineChars="50"/>
        <w:rPr>
          <w:rFonts w:hint="eastAsia" w:ascii="黑体" w:hAnsi="黑体" w:eastAsia="黑体" w:cs="黑体"/>
          <w:sz w:val="32"/>
          <w:szCs w:val="32"/>
        </w:rPr>
      </w:pPr>
      <w:r>
        <w:rPr>
          <w:rFonts w:hint="eastAsia" w:ascii="黑体" w:hAnsi="黑体" w:eastAsia="黑体" w:cs="黑体"/>
          <w:sz w:val="32"/>
          <w:szCs w:val="32"/>
        </w:rPr>
        <w:t>（见正文附件）。</w:t>
      </w:r>
    </w:p>
    <w:p w14:paraId="7A9A1D3B">
      <w:pPr>
        <w:shd w:val="clear" w:color="auto" w:fill="FFFFFF"/>
        <w:spacing w:before="100" w:beforeAutospacing="1" w:after="100" w:afterAutospacing="1"/>
        <w:ind w:left="1210"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13311D3C">
      <w:pPr>
        <w:shd w:val="clear" w:color="auto" w:fill="FFFFFF"/>
        <w:spacing w:before="100" w:beforeAutospacing="1" w:after="100" w:afterAutospacing="1"/>
        <w:ind w:left="1459" w:leftChars="608" w:firstLine="160" w:firstLineChars="50"/>
        <w:rPr>
          <w:rFonts w:hint="eastAsia" w:ascii="黑体" w:hAnsi="黑体" w:eastAsia="黑体" w:cs="黑体"/>
          <w:sz w:val="32"/>
          <w:szCs w:val="32"/>
        </w:rPr>
      </w:pPr>
      <w:r>
        <w:rPr>
          <w:rFonts w:hint="eastAsia" w:ascii="黑体" w:hAnsi="黑体" w:eastAsia="黑体" w:cs="黑体"/>
          <w:sz w:val="32"/>
          <w:szCs w:val="32"/>
        </w:rPr>
        <w:t>（见正文附件）。</w:t>
      </w:r>
    </w:p>
    <w:p w14:paraId="637541DF">
      <w:pPr>
        <w:shd w:val="clear" w:color="auto" w:fill="FFFFFF"/>
        <w:spacing w:before="100" w:beforeAutospacing="1" w:after="100" w:afterAutospacing="1"/>
        <w:rPr>
          <w:rFonts w:hint="eastAsia" w:ascii="黑体" w:hAnsi="黑体" w:eastAsia="黑体" w:cs="黑体"/>
          <w:sz w:val="32"/>
          <w:szCs w:val="32"/>
        </w:rPr>
      </w:pPr>
      <w:bookmarkStart w:id="67" w:name="_Toc29886_WPSOffice_Level2"/>
      <w:bookmarkStart w:id="68" w:name="_Toc1820_WPSOffice_Level2"/>
      <w:bookmarkStart w:id="69" w:name="_Toc9377_WPSOffice_Level2"/>
      <w:bookmarkStart w:id="70" w:name="_Toc19961_WPSOffice_Level2"/>
      <w:r>
        <w:rPr>
          <w:rFonts w:hint="eastAsia" w:ascii="黑体" w:hAnsi="黑体" w:eastAsia="黑体" w:cs="黑体"/>
          <w:sz w:val="32"/>
          <w:szCs w:val="32"/>
        </w:rPr>
        <w:t xml:space="preserve">    九、一般公共预算财政拨款“三公”经费支出决算</w:t>
      </w:r>
    </w:p>
    <w:p w14:paraId="6D9ED943">
      <w:pPr>
        <w:shd w:val="clear" w:color="auto" w:fill="FFFFFF"/>
        <w:spacing w:before="100" w:beforeAutospacing="1" w:after="100" w:afterAutospacing="1"/>
        <w:rPr>
          <w:rFonts w:hint="eastAsia" w:ascii="黑体" w:hAnsi="黑体" w:eastAsia="黑体" w:cs="黑体"/>
          <w:sz w:val="32"/>
          <w:szCs w:val="32"/>
        </w:rPr>
      </w:pPr>
      <w:r>
        <w:rPr>
          <w:rFonts w:hint="eastAsia" w:ascii="黑体" w:hAnsi="黑体" w:eastAsia="黑体" w:cs="黑体"/>
          <w:sz w:val="32"/>
          <w:szCs w:val="32"/>
        </w:rPr>
        <w:t xml:space="preserve">         </w:t>
      </w:r>
      <w:bookmarkEnd w:id="67"/>
      <w:bookmarkEnd w:id="68"/>
      <w:bookmarkEnd w:id="69"/>
      <w:bookmarkEnd w:id="70"/>
      <w:r>
        <w:rPr>
          <w:rFonts w:hint="eastAsia" w:ascii="黑体" w:hAnsi="黑体" w:eastAsia="黑体" w:cs="黑体"/>
          <w:sz w:val="32"/>
          <w:szCs w:val="32"/>
        </w:rPr>
        <w:t>公开表（见正文附件）。</w:t>
      </w:r>
    </w:p>
    <w:p w14:paraId="705B46F8">
      <w:pPr>
        <w:shd w:val="clear" w:color="auto" w:fill="FFFFFF"/>
        <w:spacing w:before="100" w:beforeAutospacing="1" w:after="100" w:afterAutospacing="1"/>
        <w:rPr>
          <w:rFonts w:hint="eastAsia" w:ascii="黑体" w:hAnsi="黑体" w:eastAsia="黑体" w:cs="黑体"/>
          <w:sz w:val="32"/>
          <w:szCs w:val="32"/>
        </w:rPr>
      </w:pPr>
      <w:r>
        <w:rPr>
          <w:rFonts w:hint="eastAsia" w:ascii="黑体" w:hAnsi="黑体" w:eastAsia="黑体" w:cs="黑体"/>
          <w:sz w:val="32"/>
          <w:szCs w:val="32"/>
        </w:rPr>
        <w:t xml:space="preserve">    十、政府性基金预算财政拨款“三公”经费支出决算</w:t>
      </w:r>
    </w:p>
    <w:p w14:paraId="4E08ABC4">
      <w:pPr>
        <w:shd w:val="clear" w:color="auto" w:fill="FFFFFF"/>
        <w:spacing w:before="100" w:beforeAutospacing="1" w:after="100" w:afterAutospacing="1"/>
        <w:rPr>
          <w:rFonts w:hint="eastAsia" w:ascii="黑体" w:hAnsi="黑体" w:eastAsia="黑体" w:cs="黑体"/>
          <w:sz w:val="32"/>
          <w:szCs w:val="32"/>
        </w:rPr>
      </w:pPr>
      <w:r>
        <w:rPr>
          <w:rFonts w:hint="eastAsia" w:ascii="黑体" w:hAnsi="黑体" w:eastAsia="黑体" w:cs="黑体"/>
          <w:sz w:val="32"/>
          <w:szCs w:val="32"/>
        </w:rPr>
        <w:t xml:space="preserve">          公开表（见正文附件）。</w:t>
      </w:r>
    </w:p>
    <w:p w14:paraId="13661696">
      <w:pPr>
        <w:shd w:val="clear" w:color="auto" w:fill="FFFFFF"/>
        <w:spacing w:before="100" w:beforeAutospacing="1" w:after="100" w:afterAutospacing="1"/>
        <w:rPr>
          <w:rFonts w:hint="eastAsia" w:ascii="黑体" w:hAnsi="黑体" w:eastAsia="黑体" w:cs="黑体"/>
          <w:sz w:val="32"/>
          <w:szCs w:val="32"/>
        </w:rPr>
      </w:pPr>
      <w:r>
        <w:rPr>
          <w:rFonts w:hint="eastAsia" w:ascii="黑体" w:hAnsi="黑体" w:eastAsia="黑体" w:cs="黑体"/>
          <w:sz w:val="32"/>
          <w:szCs w:val="32"/>
        </w:rPr>
        <w:t xml:space="preserve">    十一、国有资本经营预算财政拨款“三公”经费支出决算</w:t>
      </w:r>
    </w:p>
    <w:p w14:paraId="29F1D8FE">
      <w:pPr>
        <w:shd w:val="clear" w:color="auto" w:fill="FFFFFF"/>
        <w:spacing w:before="100" w:beforeAutospacing="1" w:after="100" w:afterAutospacing="1"/>
        <w:rPr>
          <w:rFonts w:hint="eastAsia" w:ascii="黑体" w:hAnsi="黑体" w:eastAsia="黑体" w:cs="黑体"/>
          <w:sz w:val="32"/>
          <w:szCs w:val="32"/>
        </w:rPr>
      </w:pPr>
      <w:r>
        <w:rPr>
          <w:rFonts w:hint="eastAsia" w:ascii="黑体" w:hAnsi="黑体" w:eastAsia="黑体" w:cs="黑体"/>
          <w:sz w:val="32"/>
          <w:szCs w:val="32"/>
        </w:rPr>
        <w:t xml:space="preserve">          公开表（见正文附件）。</w:t>
      </w:r>
    </w:p>
    <w:p w14:paraId="58CD20F3">
      <w:pPr>
        <w:shd w:val="clear" w:color="auto" w:fill="FFFFFF"/>
        <w:spacing w:before="100" w:beforeAutospacing="1" w:after="100" w:afterAutospacing="1"/>
        <w:rPr>
          <w:rFonts w:hint="eastAsia" w:ascii="黑体" w:hAnsi="黑体" w:eastAsia="黑体" w:cs="黑体"/>
          <w:sz w:val="32"/>
          <w:szCs w:val="32"/>
        </w:rPr>
      </w:pPr>
    </w:p>
    <w:p w14:paraId="667E340D">
      <w:pPr>
        <w:shd w:val="clear" w:color="auto" w:fill="FFFFFF"/>
        <w:spacing w:before="100" w:beforeAutospacing="1" w:after="100" w:afterAutospacing="1"/>
        <w:rPr>
          <w:rFonts w:hint="eastAsia" w:ascii="黑体" w:hAnsi="ˎ̥" w:eastAsia="黑体"/>
          <w:sz w:val="32"/>
          <w:szCs w:val="32"/>
        </w:rPr>
      </w:pPr>
      <w:bookmarkStart w:id="71" w:name="_Toc31264_WPSOffice_Level1"/>
      <w:bookmarkStart w:id="72" w:name="_Toc27590_WPSOffice_Level1"/>
      <w:bookmarkStart w:id="73" w:name="_Toc16686_WPSOffice_Level1"/>
      <w:bookmarkStart w:id="74" w:name="_Toc29683_WPSOffice_Level1"/>
      <w:bookmarkStart w:id="75" w:name="_Toc4402_WPSOffice_Level1"/>
      <w:bookmarkStart w:id="76" w:name="_Toc28629_WPSOffice_Level1"/>
      <w:r>
        <w:rPr>
          <w:rFonts w:hint="eastAsia" w:ascii="黑体" w:hAnsi="ˎ̥" w:eastAsia="黑体"/>
          <w:sz w:val="32"/>
          <w:szCs w:val="32"/>
        </w:rPr>
        <w:t>第三部分  海南青皮林省级自然保护区202</w:t>
      </w:r>
      <w:r>
        <w:rPr>
          <w:rFonts w:hint="eastAsia" w:ascii="黑体" w:hAnsi="ˎ̥" w:eastAsia="黑体"/>
          <w:sz w:val="32"/>
          <w:szCs w:val="32"/>
          <w:lang w:val="en-US" w:eastAsia="zh-CN"/>
        </w:rPr>
        <w:t>4</w:t>
      </w:r>
      <w:r>
        <w:rPr>
          <w:rFonts w:hint="eastAsia" w:ascii="黑体" w:hAnsi="ˎ̥" w:eastAsia="黑体"/>
          <w:sz w:val="32"/>
          <w:szCs w:val="32"/>
        </w:rPr>
        <w:t>年度部门决算情况说明</w:t>
      </w:r>
      <w:bookmarkEnd w:id="71"/>
      <w:bookmarkEnd w:id="72"/>
      <w:bookmarkEnd w:id="73"/>
      <w:bookmarkEnd w:id="74"/>
      <w:bookmarkEnd w:id="75"/>
      <w:bookmarkEnd w:id="76"/>
    </w:p>
    <w:p w14:paraId="28DA28FE">
      <w:pPr>
        <w:shd w:val="clear" w:color="auto" w:fill="FFFFFF"/>
        <w:spacing w:before="100" w:beforeAutospacing="1" w:after="100" w:afterAutospacing="1"/>
        <w:jc w:val="center"/>
        <w:rPr>
          <w:rFonts w:hint="eastAsia" w:ascii="黑体" w:hAnsi="ˎ̥" w:eastAsia="黑体"/>
          <w:sz w:val="32"/>
          <w:szCs w:val="32"/>
        </w:rPr>
      </w:pPr>
    </w:p>
    <w:p w14:paraId="194F86EE">
      <w:pPr>
        <w:ind w:firstLine="709"/>
        <w:rPr>
          <w:rFonts w:hint="eastAsia" w:ascii="仿宋" w:hAnsi="仿宋" w:eastAsia="仿宋" w:cs="仿宋"/>
          <w:color w:val="000000"/>
          <w:sz w:val="32"/>
          <w:szCs w:val="32"/>
          <w:highlight w:val="none"/>
        </w:rPr>
      </w:pPr>
      <w:r>
        <w:rPr>
          <w:rFonts w:hint="eastAsia" w:ascii="黑体" w:hAnsi="黑体" w:eastAsia="黑体" w:cs="黑体"/>
          <w:bCs/>
          <w:sz w:val="32"/>
          <w:szCs w:val="32"/>
        </w:rPr>
        <w:t>一、收入支出决算总体情况说明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eastAsia" w:ascii="楷体_GB2312" w:hAnsi="ˎ̥" w:eastAsia="楷体_GB2312"/>
          <w:color w:val="000000"/>
          <w:sz w:val="32"/>
          <w:szCs w:val="32"/>
          <w:highlight w:val="none"/>
        </w:rPr>
        <w:t xml:space="preserve"> </w:t>
      </w: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年度收入总计</w:t>
      </w:r>
      <w:r>
        <w:rPr>
          <w:rFonts w:hint="eastAsia" w:ascii="仿宋" w:hAnsi="仿宋" w:eastAsia="仿宋" w:cs="仿宋"/>
          <w:color w:val="000000"/>
          <w:sz w:val="32"/>
          <w:szCs w:val="32"/>
          <w:highlight w:val="none"/>
          <w:lang w:val="en-US" w:eastAsia="zh-CN"/>
        </w:rPr>
        <w:t>280.23</w:t>
      </w:r>
      <w:r>
        <w:rPr>
          <w:rFonts w:hint="eastAsia" w:ascii="仿宋" w:hAnsi="仿宋" w:eastAsia="仿宋" w:cs="仿宋"/>
          <w:color w:val="000000"/>
          <w:sz w:val="32"/>
          <w:szCs w:val="32"/>
          <w:highlight w:val="none"/>
        </w:rPr>
        <w:t>万元，支出总计</w:t>
      </w:r>
      <w:r>
        <w:rPr>
          <w:rFonts w:hint="eastAsia" w:ascii="仿宋" w:hAnsi="仿宋" w:eastAsia="仿宋" w:cs="仿宋"/>
          <w:color w:val="000000"/>
          <w:sz w:val="32"/>
          <w:szCs w:val="32"/>
          <w:highlight w:val="none"/>
          <w:lang w:val="en-US" w:eastAsia="zh-CN"/>
        </w:rPr>
        <w:t>273.37</w:t>
      </w:r>
      <w:r>
        <w:rPr>
          <w:rFonts w:hint="eastAsia" w:ascii="仿宋" w:hAnsi="仿宋" w:eastAsia="仿宋" w:cs="仿宋"/>
          <w:color w:val="000000"/>
          <w:sz w:val="32"/>
          <w:szCs w:val="32"/>
          <w:highlight w:val="none"/>
        </w:rPr>
        <w:t>万元，与202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年度相比，收入、支出</w:t>
      </w:r>
      <w:r>
        <w:rPr>
          <w:rFonts w:hint="eastAsia" w:ascii="仿宋" w:hAnsi="仿宋" w:eastAsia="仿宋" w:cs="仿宋"/>
          <w:color w:val="000000"/>
          <w:sz w:val="32"/>
          <w:szCs w:val="32"/>
          <w:highlight w:val="none"/>
          <w:lang w:val="en-US" w:eastAsia="zh-CN"/>
        </w:rPr>
        <w:t>各</w:t>
      </w:r>
      <w:r>
        <w:rPr>
          <w:rFonts w:hint="eastAsia" w:ascii="仿宋" w:hAnsi="仿宋" w:eastAsia="仿宋" w:cs="仿宋"/>
          <w:color w:val="000000"/>
          <w:sz w:val="32"/>
          <w:szCs w:val="32"/>
          <w:highlight w:val="none"/>
        </w:rPr>
        <w:t>总计</w:t>
      </w:r>
      <w:r>
        <w:rPr>
          <w:rFonts w:hint="eastAsia" w:ascii="仿宋" w:hAnsi="仿宋" w:eastAsia="仿宋" w:cs="仿宋"/>
          <w:color w:val="000000"/>
          <w:sz w:val="32"/>
          <w:szCs w:val="32"/>
          <w:highlight w:val="none"/>
          <w:lang w:val="en-US" w:eastAsia="zh-CN"/>
        </w:rPr>
        <w:t>减少142.81</w:t>
      </w:r>
      <w:r>
        <w:rPr>
          <w:rFonts w:hint="eastAsia" w:ascii="仿宋" w:hAnsi="仿宋" w:eastAsia="仿宋" w:cs="仿宋"/>
          <w:color w:val="000000"/>
          <w:sz w:val="32"/>
          <w:szCs w:val="32"/>
          <w:highlight w:val="none"/>
        </w:rPr>
        <w:t>万元，</w:t>
      </w:r>
      <w:r>
        <w:rPr>
          <w:rFonts w:hint="eastAsia" w:ascii="仿宋" w:hAnsi="仿宋" w:eastAsia="仿宋" w:cs="仿宋"/>
          <w:color w:val="000000"/>
          <w:sz w:val="32"/>
          <w:szCs w:val="32"/>
          <w:highlight w:val="none"/>
          <w:lang w:val="en-US" w:eastAsia="zh-CN"/>
        </w:rPr>
        <w:t>减少50.96</w:t>
      </w:r>
      <w:r>
        <w:rPr>
          <w:rFonts w:hint="eastAsia" w:ascii="仿宋" w:hAnsi="仿宋" w:eastAsia="仿宋" w:cs="仿宋"/>
          <w:color w:val="000000"/>
          <w:sz w:val="32"/>
          <w:szCs w:val="32"/>
          <w:highlight w:val="none"/>
        </w:rPr>
        <w:t>%。主要原因：</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万宁市自然资源和规划局项目</w:t>
      </w:r>
      <w:r>
        <w:rPr>
          <w:rFonts w:hint="eastAsia" w:ascii="仿宋" w:hAnsi="仿宋" w:eastAsia="仿宋" w:cs="仿宋"/>
          <w:sz w:val="32"/>
          <w:szCs w:val="32"/>
        </w:rPr>
        <w:t>经费</w:t>
      </w:r>
      <w:r>
        <w:rPr>
          <w:rFonts w:hint="eastAsia" w:ascii="仿宋" w:hAnsi="仿宋" w:eastAsia="仿宋" w:cs="仿宋"/>
          <w:sz w:val="32"/>
          <w:szCs w:val="32"/>
          <w:lang w:val="en-US" w:eastAsia="zh-CN"/>
        </w:rPr>
        <w:t>减少</w:t>
      </w:r>
      <w:r>
        <w:rPr>
          <w:rFonts w:hint="eastAsia" w:ascii="仿宋" w:hAnsi="仿宋" w:eastAsia="仿宋" w:cs="仿宋"/>
          <w:sz w:val="32"/>
          <w:szCs w:val="32"/>
        </w:rPr>
        <w:t xml:space="preserve">。                 </w:t>
      </w:r>
    </w:p>
    <w:p w14:paraId="57D4625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（注：202</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年度相关决算数据可取自附件财决公开01表；202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年度相关决算数据可取自202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年度部门决算报表财决01表《收入支出决算总表》）</w:t>
      </w:r>
    </w:p>
    <w:p w14:paraId="145C4E4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w:t>
      </w:r>
      <w:r>
        <w:rPr>
          <w:rFonts w:hint="eastAsia" w:ascii="仿宋" w:hAnsi="仿宋" w:eastAsia="仿宋" w:cs="仿宋"/>
          <w:color w:val="000000"/>
          <w:sz w:val="32"/>
          <w:szCs w:val="32"/>
          <w:highlight w:val="none"/>
        </w:rPr>
        <w:t>本年收入合计</w:t>
      </w:r>
      <w:r>
        <w:rPr>
          <w:rFonts w:hint="eastAsia" w:ascii="仿宋" w:hAnsi="仿宋" w:eastAsia="仿宋" w:cs="仿宋"/>
          <w:color w:val="000000"/>
          <w:sz w:val="32"/>
          <w:szCs w:val="32"/>
          <w:highlight w:val="none"/>
          <w:lang w:val="en-US" w:eastAsia="zh-CN"/>
        </w:rPr>
        <w:t>280.23</w:t>
      </w:r>
      <w:r>
        <w:rPr>
          <w:rFonts w:hint="eastAsia" w:ascii="仿宋" w:hAnsi="仿宋" w:eastAsia="仿宋" w:cs="仿宋"/>
          <w:color w:val="000000"/>
          <w:sz w:val="32"/>
          <w:szCs w:val="32"/>
          <w:highlight w:val="none"/>
        </w:rPr>
        <w:t>万元，其中：财政拨款收入</w:t>
      </w:r>
      <w:r>
        <w:rPr>
          <w:rFonts w:hint="eastAsia" w:ascii="仿宋" w:hAnsi="仿宋" w:eastAsia="仿宋" w:cs="仿宋"/>
          <w:color w:val="000000"/>
          <w:sz w:val="32"/>
          <w:szCs w:val="32"/>
          <w:highlight w:val="none"/>
          <w:lang w:val="en-US" w:eastAsia="zh-CN"/>
        </w:rPr>
        <w:t>280.23</w:t>
      </w:r>
      <w:r>
        <w:rPr>
          <w:rFonts w:hint="eastAsia" w:ascii="仿宋" w:hAnsi="仿宋" w:eastAsia="仿宋" w:cs="仿宋"/>
          <w:color w:val="000000"/>
          <w:sz w:val="32"/>
          <w:szCs w:val="32"/>
          <w:highlight w:val="none"/>
        </w:rPr>
        <w:t>万元，占</w:t>
      </w:r>
      <w:r>
        <w:rPr>
          <w:rFonts w:hint="eastAsia" w:ascii="仿宋" w:hAnsi="仿宋" w:eastAsia="仿宋" w:cs="仿宋"/>
          <w:color w:val="000000"/>
          <w:sz w:val="32"/>
          <w:szCs w:val="32"/>
          <w:highlight w:val="none"/>
          <w:lang w:val="en-US" w:eastAsia="zh-CN"/>
        </w:rPr>
        <w:t>100</w:t>
      </w:r>
      <w:r>
        <w:rPr>
          <w:rFonts w:hint="eastAsia" w:ascii="仿宋" w:hAnsi="仿宋" w:eastAsia="仿宋" w:cs="仿宋"/>
          <w:color w:val="000000"/>
          <w:sz w:val="32"/>
          <w:szCs w:val="32"/>
          <w:highlight w:val="none"/>
        </w:rPr>
        <w:t>%；上级补助收入</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rPr>
        <w:t>万元，占</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事业收入</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rPr>
        <w:t>万元，占</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经营收入</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rPr>
        <w:t>万元，占</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附属单位上缴收入</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rPr>
        <w:t>万元，占</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rPr>
        <w:t>%；其他收入</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rPr>
        <w:t>万元，占</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rPr>
        <w:t>%。</w:t>
      </w:r>
    </w:p>
    <w:p w14:paraId="6B640DCB">
      <w:pPr>
        <w:keepNext w:val="0"/>
        <w:keepLines w:val="0"/>
        <w:pageBreakBefore w:val="0"/>
        <w:kinsoku/>
        <w:wordWrap/>
        <w:overflowPunct/>
        <w:topLinePunct w:val="0"/>
        <w:autoSpaceDE/>
        <w:autoSpaceDN/>
        <w:bidi w:val="0"/>
        <w:adjustRightInd/>
        <w:snapToGrid/>
        <w:spacing w:line="560" w:lineRule="exact"/>
        <w:ind w:left="470" w:leftChars="196"/>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（注：上述各项收入数字可取自财决公开02表）</w:t>
      </w:r>
    </w:p>
    <w:p w14:paraId="4A6CB127">
      <w:pPr>
        <w:shd w:val="clear" w:color="auto" w:fill="FFFFFF"/>
        <w:spacing w:before="100" w:beforeAutospacing="1" w:after="100" w:afterAutospacing="1"/>
        <w:ind w:firstLine="640" w:firstLineChars="200"/>
        <w:rPr>
          <w:rFonts w:hint="eastAsia" w:ascii="仿宋_GB2312" w:hAnsi="ˎ̥" w:eastAsia="仿宋_GB2312"/>
          <w:sz w:val="32"/>
          <w:szCs w:val="32"/>
        </w:rPr>
      </w:pPr>
    </w:p>
    <w:p w14:paraId="65C6C505">
      <w:pPr>
        <w:shd w:val="clear" w:color="auto" w:fill="FFFFFF"/>
        <w:spacing w:before="100" w:beforeAutospacing="1" w:after="100" w:afterAutospacing="1"/>
        <w:ind w:firstLine="627" w:firstLineChars="196"/>
        <w:rPr>
          <w:rFonts w:hint="eastAsia" w:ascii="黑体" w:hAnsi="黑体" w:eastAsia="黑体" w:cs="黑体"/>
          <w:bCs/>
          <w:sz w:val="32"/>
          <w:szCs w:val="32"/>
        </w:rPr>
      </w:pPr>
      <w:r>
        <w:rPr>
          <w:rFonts w:hint="eastAsia" w:ascii="黑体" w:hAnsi="黑体" w:eastAsia="黑体" w:cs="黑体"/>
          <w:bCs/>
          <w:sz w:val="32"/>
          <w:szCs w:val="32"/>
        </w:rPr>
        <w:t>三、支出决算情况说明</w:t>
      </w:r>
    </w:p>
    <w:p w14:paraId="03E14A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本年支出合计</w:t>
      </w:r>
      <w:r>
        <w:rPr>
          <w:rFonts w:hint="eastAsia" w:ascii="仿宋" w:hAnsi="仿宋" w:eastAsia="仿宋" w:cs="仿宋"/>
          <w:color w:val="000000"/>
          <w:sz w:val="32"/>
          <w:szCs w:val="32"/>
          <w:highlight w:val="none"/>
          <w:lang w:val="en-US" w:eastAsia="zh-CN"/>
        </w:rPr>
        <w:t>273.37</w:t>
      </w:r>
      <w:r>
        <w:rPr>
          <w:rFonts w:hint="eastAsia" w:ascii="仿宋" w:hAnsi="仿宋" w:eastAsia="仿宋" w:cs="仿宋"/>
          <w:color w:val="000000"/>
          <w:sz w:val="32"/>
          <w:szCs w:val="32"/>
          <w:highlight w:val="none"/>
        </w:rPr>
        <w:t>万元，其中：基本支出</w:t>
      </w:r>
      <w:r>
        <w:rPr>
          <w:rFonts w:hint="eastAsia" w:ascii="仿宋" w:hAnsi="仿宋" w:eastAsia="仿宋" w:cs="仿宋"/>
          <w:color w:val="000000"/>
          <w:sz w:val="32"/>
          <w:szCs w:val="32"/>
          <w:highlight w:val="none"/>
          <w:lang w:val="en-US" w:eastAsia="zh-CN"/>
        </w:rPr>
        <w:t>227.79</w:t>
      </w:r>
      <w:r>
        <w:rPr>
          <w:rFonts w:hint="eastAsia" w:ascii="仿宋" w:hAnsi="仿宋" w:eastAsia="仿宋" w:cs="仿宋"/>
          <w:color w:val="000000"/>
          <w:sz w:val="32"/>
          <w:szCs w:val="32"/>
          <w:highlight w:val="none"/>
        </w:rPr>
        <w:t>万元，占</w:t>
      </w:r>
      <w:r>
        <w:rPr>
          <w:rFonts w:hint="eastAsia" w:ascii="仿宋" w:hAnsi="仿宋" w:eastAsia="仿宋" w:cs="仿宋"/>
          <w:color w:val="000000"/>
          <w:sz w:val="32"/>
          <w:szCs w:val="32"/>
          <w:highlight w:val="none"/>
          <w:lang w:val="en-US" w:eastAsia="zh-CN"/>
        </w:rPr>
        <w:t>83.33</w:t>
      </w:r>
      <w:r>
        <w:rPr>
          <w:rFonts w:hint="eastAsia" w:ascii="仿宋" w:hAnsi="仿宋" w:eastAsia="仿宋" w:cs="仿宋"/>
          <w:color w:val="000000"/>
          <w:sz w:val="32"/>
          <w:szCs w:val="32"/>
          <w:highlight w:val="none"/>
        </w:rPr>
        <w:t>%；项目支出</w:t>
      </w:r>
      <w:r>
        <w:rPr>
          <w:rFonts w:hint="eastAsia" w:ascii="仿宋" w:hAnsi="仿宋" w:eastAsia="仿宋" w:cs="仿宋"/>
          <w:color w:val="000000"/>
          <w:sz w:val="32"/>
          <w:szCs w:val="32"/>
          <w:highlight w:val="none"/>
          <w:lang w:val="en-US" w:eastAsia="zh-CN"/>
        </w:rPr>
        <w:t>45.58</w:t>
      </w:r>
      <w:r>
        <w:rPr>
          <w:rFonts w:hint="eastAsia" w:ascii="仿宋" w:hAnsi="仿宋" w:eastAsia="仿宋" w:cs="仿宋"/>
          <w:color w:val="000000"/>
          <w:sz w:val="32"/>
          <w:szCs w:val="32"/>
          <w:highlight w:val="none"/>
        </w:rPr>
        <w:t>万元，占</w:t>
      </w:r>
      <w:r>
        <w:rPr>
          <w:rFonts w:hint="eastAsia" w:ascii="仿宋" w:hAnsi="仿宋" w:eastAsia="仿宋" w:cs="仿宋"/>
          <w:color w:val="000000"/>
          <w:sz w:val="32"/>
          <w:szCs w:val="32"/>
          <w:highlight w:val="none"/>
          <w:lang w:val="en-US" w:eastAsia="zh-CN"/>
        </w:rPr>
        <w:t>16.67</w:t>
      </w:r>
      <w:r>
        <w:rPr>
          <w:rFonts w:hint="eastAsia" w:ascii="仿宋" w:hAnsi="仿宋" w:eastAsia="仿宋" w:cs="仿宋"/>
          <w:color w:val="000000"/>
          <w:sz w:val="32"/>
          <w:szCs w:val="32"/>
          <w:highlight w:val="none"/>
        </w:rPr>
        <w:t>%；上缴上级支出</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rPr>
        <w:t>万元，占</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rPr>
        <w:t>%；经营支出</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rPr>
        <w:t>万元，占</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rPr>
        <w:t>%；对附属单位补助支出</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rPr>
        <w:t>万元，占</w:t>
      </w:r>
      <w:r>
        <w:rPr>
          <w:rFonts w:hint="eastAsia" w:ascii="仿宋" w:hAnsi="仿宋" w:eastAsia="仿宋" w:cs="仿宋"/>
          <w:color w:val="000000"/>
          <w:sz w:val="32"/>
          <w:szCs w:val="32"/>
          <w:highlight w:val="none"/>
          <w:lang w:val="en-US" w:eastAsia="zh-CN"/>
        </w:rPr>
        <w:t>0</w:t>
      </w:r>
      <w:r>
        <w:rPr>
          <w:rFonts w:hint="eastAsia" w:ascii="仿宋" w:hAnsi="仿宋" w:eastAsia="仿宋" w:cs="仿宋"/>
          <w:color w:val="000000"/>
          <w:sz w:val="32"/>
          <w:szCs w:val="32"/>
          <w:highlight w:val="none"/>
        </w:rPr>
        <w:t>%。</w:t>
      </w:r>
    </w:p>
    <w:p w14:paraId="646A5CBA">
      <w:pPr>
        <w:shd w:val="clear" w:color="auto" w:fill="FFFFFF"/>
        <w:spacing w:before="100" w:beforeAutospacing="1" w:after="100" w:afterAutospacing="1"/>
        <w:ind w:firstLine="627" w:firstLineChars="196"/>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2D881792">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年度财政拨款收入、支出总计</w:t>
      </w:r>
      <w:r>
        <w:rPr>
          <w:rFonts w:hint="eastAsia" w:ascii="仿宋_GB2312" w:hAnsi="ˎ̥" w:eastAsia="仿宋_GB2312"/>
          <w:sz w:val="32"/>
          <w:szCs w:val="32"/>
          <w:lang w:val="en-US" w:eastAsia="zh-CN"/>
        </w:rPr>
        <w:t>254.97</w:t>
      </w:r>
      <w:r>
        <w:rPr>
          <w:rFonts w:hint="eastAsia" w:ascii="仿宋_GB2312" w:hAnsi="ˎ̥" w:eastAsia="仿宋_GB2312"/>
          <w:sz w:val="32"/>
          <w:szCs w:val="32"/>
        </w:rPr>
        <w:t>万元。与202</w:t>
      </w:r>
      <w:r>
        <w:rPr>
          <w:rFonts w:hint="eastAsia" w:ascii="仿宋_GB2312" w:hAnsi="ˎ̥" w:eastAsia="仿宋_GB2312"/>
          <w:sz w:val="32"/>
          <w:szCs w:val="32"/>
          <w:lang w:val="en-US" w:eastAsia="zh-CN"/>
        </w:rPr>
        <w:t>3</w:t>
      </w:r>
      <w:r>
        <w:rPr>
          <w:rFonts w:hint="eastAsia" w:ascii="仿宋_GB2312" w:hAnsi="ˎ̥" w:eastAsia="仿宋_GB2312"/>
          <w:sz w:val="32"/>
          <w:szCs w:val="32"/>
        </w:rPr>
        <w:t>年度相比，财政拨款支出总计各</w:t>
      </w:r>
      <w:bookmarkStart w:id="77" w:name="_Hlk177466214"/>
      <w:r>
        <w:rPr>
          <w:rFonts w:hint="eastAsia" w:ascii="仿宋_GB2312" w:hAnsi="ˎ̥" w:eastAsia="仿宋_GB2312"/>
          <w:sz w:val="32"/>
          <w:szCs w:val="32"/>
          <w:lang w:val="en-US" w:eastAsia="zh-CN"/>
        </w:rPr>
        <w:t>减少62.15</w:t>
      </w:r>
      <w:r>
        <w:rPr>
          <w:rFonts w:hint="eastAsia" w:ascii="仿宋_GB2312" w:hAnsi="ˎ̥" w:eastAsia="仿宋_GB2312"/>
          <w:sz w:val="32"/>
          <w:szCs w:val="32"/>
        </w:rPr>
        <w:t>万元，</w:t>
      </w:r>
      <w:r>
        <w:rPr>
          <w:rFonts w:hint="eastAsia" w:ascii="仿宋_GB2312" w:hAnsi="ˎ̥" w:eastAsia="仿宋_GB2312"/>
          <w:sz w:val="32"/>
          <w:szCs w:val="32"/>
          <w:lang w:val="en-US" w:eastAsia="zh-CN"/>
        </w:rPr>
        <w:t>下</w:t>
      </w:r>
      <w:r>
        <w:rPr>
          <w:rFonts w:hint="eastAsia" w:ascii="仿宋_GB2312" w:hAnsi="ˎ̥" w:eastAsia="仿宋_GB2312"/>
          <w:sz w:val="32"/>
          <w:szCs w:val="32"/>
        </w:rPr>
        <w:t xml:space="preserve">升 </w:t>
      </w:r>
      <w:r>
        <w:rPr>
          <w:rFonts w:hint="eastAsia" w:ascii="仿宋_GB2312" w:hAnsi="ˎ̥" w:eastAsia="仿宋_GB2312"/>
          <w:sz w:val="32"/>
          <w:szCs w:val="32"/>
          <w:lang w:val="en-US" w:eastAsia="zh-CN"/>
        </w:rPr>
        <w:t>19.6</w:t>
      </w:r>
      <w:r>
        <w:rPr>
          <w:rFonts w:hint="eastAsia" w:ascii="仿宋_GB2312" w:hAnsi="ˎ̥" w:eastAsia="仿宋_GB2312"/>
          <w:sz w:val="32"/>
          <w:szCs w:val="32"/>
        </w:rPr>
        <w:t>7%</w:t>
      </w:r>
      <w:bookmarkEnd w:id="77"/>
      <w:r>
        <w:rPr>
          <w:rFonts w:hint="eastAsia" w:ascii="仿宋_GB2312" w:hAnsi="ˎ̥" w:eastAsia="仿宋_GB2312"/>
          <w:sz w:val="32"/>
          <w:szCs w:val="32"/>
        </w:rPr>
        <w:t>，主要原因</w:t>
      </w:r>
      <w:r>
        <w:rPr>
          <w:rFonts w:hint="eastAsia" w:ascii="仿宋_GB2312" w:hAnsi="ˎ̥" w:eastAsia="仿宋_GB2312"/>
          <w:sz w:val="32"/>
          <w:szCs w:val="32"/>
          <w:lang w:val="en-US" w:eastAsia="zh-CN"/>
        </w:rPr>
        <w:t>减少项目</w:t>
      </w:r>
      <w:r>
        <w:rPr>
          <w:rFonts w:hint="eastAsia" w:ascii="仿宋_GB2312" w:hAnsi="ˎ̥" w:eastAsia="仿宋_GB2312"/>
          <w:sz w:val="32"/>
          <w:szCs w:val="32"/>
        </w:rPr>
        <w:t>支出。</w:t>
      </w:r>
    </w:p>
    <w:p w14:paraId="6AAAB994">
      <w:pPr>
        <w:shd w:val="clear" w:color="auto" w:fill="FFFFFF"/>
        <w:spacing w:before="100" w:beforeAutospacing="1" w:after="100" w:afterAutospacing="1"/>
        <w:ind w:firstLine="627" w:firstLineChars="196"/>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46D097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bookmarkStart w:id="78" w:name="_Toc19665_WPSOffice_Level2"/>
      <w:bookmarkStart w:id="79" w:name="_Toc21737_WPSOffice_Level2"/>
      <w:bookmarkStart w:id="80" w:name="_Toc17398_WPSOffice_Level2"/>
      <w:bookmarkStart w:id="81" w:name="_Toc13694_WPSOffice_Level2"/>
      <w:bookmarkStart w:id="82" w:name="_Toc9989_WPSOffice_Level2"/>
      <w:bookmarkStart w:id="83" w:name="_Toc23005_WPSOffice_Level2"/>
      <w:r>
        <w:rPr>
          <w:rFonts w:hint="eastAsia" w:ascii="楷体" w:hAnsi="楷体" w:eastAsia="楷体" w:cs="楷体"/>
          <w:sz w:val="32"/>
          <w:szCs w:val="32"/>
        </w:rPr>
        <w:t>（一）</w:t>
      </w:r>
      <w:bookmarkEnd w:id="78"/>
      <w:bookmarkEnd w:id="79"/>
      <w:bookmarkEnd w:id="80"/>
      <w:bookmarkEnd w:id="81"/>
      <w:bookmarkEnd w:id="82"/>
      <w:bookmarkEnd w:id="83"/>
      <w:r>
        <w:rPr>
          <w:rFonts w:hint="eastAsia" w:ascii="仿宋" w:hAnsi="仿宋" w:eastAsia="仿宋" w:cs="仿宋"/>
          <w:color w:val="000000"/>
          <w:sz w:val="32"/>
          <w:szCs w:val="32"/>
          <w:highlight w:val="none"/>
        </w:rPr>
        <w:t>一般公共预算财政拨款支出决算总体情况。</w:t>
      </w:r>
    </w:p>
    <w:p w14:paraId="05741E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年度一般公共预算财政拨款支出</w:t>
      </w:r>
      <w:r>
        <w:rPr>
          <w:rFonts w:hint="eastAsia" w:ascii="仿宋" w:hAnsi="仿宋" w:eastAsia="仿宋" w:cs="仿宋"/>
          <w:color w:val="000000"/>
          <w:sz w:val="32"/>
          <w:szCs w:val="32"/>
          <w:highlight w:val="none"/>
          <w:lang w:val="en-US" w:eastAsia="zh-CN"/>
        </w:rPr>
        <w:t>273.37</w:t>
      </w:r>
      <w:r>
        <w:rPr>
          <w:rFonts w:hint="eastAsia" w:ascii="仿宋" w:hAnsi="仿宋" w:eastAsia="仿宋" w:cs="仿宋"/>
          <w:color w:val="000000"/>
          <w:sz w:val="32"/>
          <w:szCs w:val="32"/>
          <w:highlight w:val="none"/>
        </w:rPr>
        <w:t>万元，占本年支出合计的</w:t>
      </w:r>
      <w:r>
        <w:rPr>
          <w:rFonts w:hint="eastAsia" w:ascii="仿宋" w:hAnsi="仿宋" w:eastAsia="仿宋" w:cs="仿宋"/>
          <w:color w:val="000000"/>
          <w:sz w:val="32"/>
          <w:szCs w:val="32"/>
          <w:highlight w:val="none"/>
          <w:lang w:val="en-US" w:eastAsia="zh-CN"/>
        </w:rPr>
        <w:t>83.33</w:t>
      </w:r>
      <w:r>
        <w:rPr>
          <w:rFonts w:hint="eastAsia" w:ascii="仿宋" w:hAnsi="仿宋" w:eastAsia="仿宋" w:cs="仿宋"/>
          <w:color w:val="000000"/>
          <w:sz w:val="32"/>
          <w:szCs w:val="32"/>
          <w:highlight w:val="none"/>
        </w:rPr>
        <w:t>%。与202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年度相比，一般公共预算财政拨款支出</w:t>
      </w:r>
      <w:r>
        <w:rPr>
          <w:rFonts w:hint="eastAsia" w:ascii="仿宋" w:hAnsi="仿宋" w:eastAsia="仿宋" w:cs="仿宋"/>
          <w:color w:val="000000"/>
          <w:sz w:val="32"/>
          <w:szCs w:val="32"/>
          <w:highlight w:val="none"/>
          <w:lang w:val="en-US" w:eastAsia="zh-CN"/>
        </w:rPr>
        <w:t>减少108.71</w:t>
      </w:r>
      <w:r>
        <w:rPr>
          <w:rFonts w:hint="eastAsia" w:ascii="仿宋" w:hAnsi="仿宋" w:eastAsia="仿宋" w:cs="仿宋"/>
          <w:color w:val="000000"/>
          <w:sz w:val="32"/>
          <w:szCs w:val="32"/>
          <w:highlight w:val="none"/>
        </w:rPr>
        <w:t>万元，</w:t>
      </w:r>
      <w:r>
        <w:rPr>
          <w:rFonts w:hint="eastAsia" w:ascii="仿宋" w:hAnsi="仿宋" w:eastAsia="仿宋" w:cs="仿宋"/>
          <w:color w:val="000000"/>
          <w:sz w:val="32"/>
          <w:szCs w:val="32"/>
          <w:highlight w:val="none"/>
          <w:lang w:val="en-US" w:eastAsia="zh-CN"/>
        </w:rPr>
        <w:t>减少28.45</w:t>
      </w:r>
      <w:r>
        <w:rPr>
          <w:rFonts w:hint="eastAsia" w:ascii="仿宋" w:hAnsi="仿宋" w:eastAsia="仿宋" w:cs="仿宋"/>
          <w:color w:val="000000"/>
          <w:sz w:val="32"/>
          <w:szCs w:val="32"/>
          <w:highlight w:val="none"/>
        </w:rPr>
        <w:t>%，主要原因是</w:t>
      </w:r>
      <w:r>
        <w:rPr>
          <w:rFonts w:hint="eastAsia" w:ascii="仿宋" w:hAnsi="仿宋" w:eastAsia="仿宋" w:cs="仿宋"/>
          <w:color w:val="000000"/>
          <w:sz w:val="32"/>
          <w:szCs w:val="32"/>
          <w:highlight w:val="none"/>
          <w:lang w:val="en-US" w:eastAsia="zh-CN"/>
        </w:rPr>
        <w:t>2024年</w:t>
      </w:r>
      <w:r>
        <w:rPr>
          <w:rFonts w:hint="eastAsia" w:ascii="仿宋" w:hAnsi="仿宋" w:eastAsia="仿宋" w:cs="仿宋"/>
          <w:color w:val="000000"/>
          <w:sz w:val="32"/>
          <w:szCs w:val="32"/>
          <w:highlight w:val="none"/>
        </w:rPr>
        <w:t>一般公共预算财政拨款</w:t>
      </w:r>
      <w:r>
        <w:rPr>
          <w:rFonts w:hint="eastAsia" w:ascii="仿宋" w:hAnsi="仿宋" w:eastAsia="仿宋" w:cs="仿宋"/>
          <w:color w:val="000000"/>
          <w:sz w:val="32"/>
          <w:szCs w:val="32"/>
          <w:highlight w:val="none"/>
          <w:lang w:val="en-US" w:eastAsia="zh-CN"/>
        </w:rPr>
        <w:t>减少</w:t>
      </w:r>
      <w:r>
        <w:rPr>
          <w:rFonts w:hint="eastAsia" w:ascii="仿宋" w:hAnsi="仿宋" w:eastAsia="仿宋" w:cs="仿宋"/>
          <w:color w:val="000000"/>
          <w:sz w:val="32"/>
          <w:szCs w:val="32"/>
          <w:highlight w:val="none"/>
        </w:rPr>
        <w:t>。</w:t>
      </w:r>
    </w:p>
    <w:p w14:paraId="2A35D891">
      <w:pPr>
        <w:shd w:val="clear" w:color="auto" w:fill="FFFFFF"/>
        <w:spacing w:before="100" w:beforeAutospacing="1" w:after="100" w:afterAutospacing="1"/>
        <w:ind w:firstLine="640" w:firstLineChars="200"/>
        <w:rPr>
          <w:rFonts w:hint="eastAsia" w:ascii="仿宋_GB2312" w:hAnsi="ˎ̥" w:eastAsia="仿宋_GB2312"/>
          <w:sz w:val="32"/>
          <w:szCs w:val="32"/>
        </w:rPr>
      </w:pPr>
    </w:p>
    <w:p w14:paraId="57E617E4">
      <w:pPr>
        <w:shd w:val="clear" w:color="auto" w:fill="FFFFFF"/>
        <w:spacing w:before="100" w:beforeAutospacing="1" w:after="100" w:afterAutospacing="1"/>
        <w:ind w:firstLine="640" w:firstLineChars="200"/>
        <w:rPr>
          <w:rFonts w:hint="eastAsia" w:ascii="楷体" w:hAnsi="楷体" w:eastAsia="楷体" w:cs="楷体"/>
          <w:sz w:val="32"/>
          <w:szCs w:val="32"/>
        </w:rPr>
      </w:pPr>
      <w:bookmarkStart w:id="84" w:name="_Toc18793_WPSOffice_Level2"/>
      <w:bookmarkStart w:id="85" w:name="_Toc2711_WPSOffice_Level2"/>
      <w:bookmarkStart w:id="86" w:name="_Toc19075_WPSOffice_Level2"/>
      <w:bookmarkStart w:id="87" w:name="_Toc27767_WPSOffice_Level2"/>
      <w:bookmarkStart w:id="88" w:name="_Toc23864_WPSOffice_Level2"/>
      <w:bookmarkStart w:id="89" w:name="_Toc19535_WPSOffice_Level2"/>
      <w:r>
        <w:rPr>
          <w:rFonts w:hint="eastAsia" w:ascii="楷体" w:hAnsi="楷体" w:eastAsia="楷体" w:cs="楷体"/>
          <w:sz w:val="32"/>
          <w:szCs w:val="32"/>
        </w:rPr>
        <w:t>（二）一般公共预算财政拨款支出决算结构情况</w:t>
      </w:r>
      <w:bookmarkEnd w:id="84"/>
      <w:bookmarkEnd w:id="85"/>
      <w:r>
        <w:rPr>
          <w:rFonts w:hint="eastAsia" w:ascii="楷体" w:hAnsi="楷体" w:eastAsia="楷体" w:cs="楷体"/>
          <w:sz w:val="32"/>
          <w:szCs w:val="32"/>
        </w:rPr>
        <w:t>。</w:t>
      </w:r>
      <w:bookmarkEnd w:id="86"/>
      <w:bookmarkEnd w:id="87"/>
      <w:bookmarkEnd w:id="88"/>
      <w:bookmarkEnd w:id="89"/>
    </w:p>
    <w:p w14:paraId="620B4EB1">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年度一般公共预算财政拨款支出</w:t>
      </w:r>
      <w:r>
        <w:rPr>
          <w:rFonts w:hint="eastAsia" w:ascii="仿宋_GB2312" w:hAnsi="ˎ̥" w:eastAsia="仿宋_GB2312"/>
          <w:sz w:val="32"/>
          <w:szCs w:val="32"/>
          <w:lang w:val="en-US" w:eastAsia="zh-CN"/>
        </w:rPr>
        <w:t>273.37</w:t>
      </w:r>
      <w:r>
        <w:rPr>
          <w:rFonts w:hint="eastAsia" w:ascii="仿宋_GB2312" w:hAnsi="ˎ̥" w:eastAsia="仿宋_GB2312"/>
          <w:sz w:val="32"/>
          <w:szCs w:val="32"/>
        </w:rPr>
        <w:t>万元，主要用于以下方面：社会保障和就业支出</w:t>
      </w:r>
      <w:r>
        <w:rPr>
          <w:rFonts w:hint="eastAsia" w:ascii="仿宋_GB2312" w:hAnsi="ˎ̥" w:eastAsia="仿宋_GB2312"/>
          <w:sz w:val="32"/>
          <w:szCs w:val="32"/>
          <w:lang w:val="en-US" w:eastAsia="zh-CN"/>
        </w:rPr>
        <w:t>24.92</w:t>
      </w:r>
      <w:r>
        <w:rPr>
          <w:rFonts w:hint="eastAsia" w:ascii="仿宋_GB2312" w:hAnsi="ˎ̥" w:eastAsia="仿宋_GB2312"/>
          <w:sz w:val="32"/>
          <w:szCs w:val="32"/>
        </w:rPr>
        <w:t>万元，占</w:t>
      </w:r>
      <w:r>
        <w:rPr>
          <w:rFonts w:hint="eastAsia" w:ascii="仿宋_GB2312" w:hAnsi="ˎ̥" w:eastAsia="仿宋_GB2312"/>
          <w:sz w:val="32"/>
          <w:szCs w:val="32"/>
          <w:lang w:val="en-US" w:eastAsia="zh-CN"/>
        </w:rPr>
        <w:t>9.12</w:t>
      </w:r>
      <w:r>
        <w:rPr>
          <w:rFonts w:hint="eastAsia" w:ascii="仿宋_GB2312" w:hAnsi="ˎ̥" w:eastAsia="仿宋_GB2312"/>
          <w:sz w:val="32"/>
          <w:szCs w:val="32"/>
        </w:rPr>
        <w:t>%，卫生健康支出</w:t>
      </w:r>
      <w:r>
        <w:rPr>
          <w:rFonts w:hint="eastAsia" w:ascii="仿宋_GB2312" w:hAnsi="ˎ̥" w:eastAsia="仿宋_GB2312"/>
          <w:sz w:val="32"/>
          <w:szCs w:val="32"/>
          <w:lang w:val="en-US" w:eastAsia="zh-CN"/>
        </w:rPr>
        <w:t>22.51</w:t>
      </w:r>
      <w:r>
        <w:rPr>
          <w:rFonts w:hint="eastAsia" w:ascii="仿宋_GB2312" w:hAnsi="ˎ̥" w:eastAsia="仿宋_GB2312"/>
          <w:sz w:val="32"/>
          <w:szCs w:val="32"/>
        </w:rPr>
        <w:t>万元，</w:t>
      </w:r>
      <w:bookmarkStart w:id="90" w:name="_Hlk177124037"/>
      <w:r>
        <w:rPr>
          <w:rFonts w:hint="eastAsia" w:ascii="仿宋_GB2312" w:hAnsi="ˎ̥" w:eastAsia="仿宋_GB2312"/>
          <w:sz w:val="32"/>
          <w:szCs w:val="32"/>
        </w:rPr>
        <w:t>占</w:t>
      </w:r>
      <w:r>
        <w:rPr>
          <w:rFonts w:hint="eastAsia" w:ascii="仿宋_GB2312" w:hAnsi="ˎ̥" w:eastAsia="仿宋_GB2312"/>
          <w:sz w:val="32"/>
          <w:szCs w:val="32"/>
          <w:lang w:val="en-US" w:eastAsia="zh-CN"/>
        </w:rPr>
        <w:t>8.24</w:t>
      </w:r>
      <w:r>
        <w:rPr>
          <w:rFonts w:hint="eastAsia" w:ascii="仿宋_GB2312" w:hAnsi="ˎ̥" w:eastAsia="仿宋_GB2312"/>
          <w:sz w:val="32"/>
          <w:szCs w:val="32"/>
        </w:rPr>
        <w:t>%，</w:t>
      </w:r>
      <w:bookmarkEnd w:id="90"/>
      <w:r>
        <w:rPr>
          <w:rFonts w:hint="eastAsia" w:ascii="仿宋_GB2312" w:hAnsi="ˎ̥" w:eastAsia="仿宋_GB2312"/>
          <w:sz w:val="32"/>
          <w:szCs w:val="32"/>
        </w:rPr>
        <w:t>节能环保支出</w:t>
      </w:r>
      <w:r>
        <w:rPr>
          <w:rFonts w:hint="eastAsia" w:ascii="仿宋_GB2312" w:hAnsi="ˎ̥" w:eastAsia="仿宋_GB2312"/>
          <w:sz w:val="32"/>
          <w:szCs w:val="32"/>
          <w:lang w:val="en-US" w:eastAsia="zh-CN"/>
        </w:rPr>
        <w:t>5.97</w:t>
      </w:r>
      <w:r>
        <w:rPr>
          <w:rFonts w:hint="eastAsia" w:ascii="仿宋_GB2312" w:hAnsi="ˎ̥" w:eastAsia="仿宋_GB2312"/>
          <w:sz w:val="32"/>
          <w:szCs w:val="32"/>
        </w:rPr>
        <w:t>万元，占2.1</w:t>
      </w:r>
      <w:r>
        <w:rPr>
          <w:rFonts w:hint="eastAsia" w:ascii="仿宋_GB2312" w:hAnsi="ˎ̥" w:eastAsia="仿宋_GB2312"/>
          <w:sz w:val="32"/>
          <w:szCs w:val="32"/>
          <w:lang w:val="en-US" w:eastAsia="zh-CN"/>
        </w:rPr>
        <w:t>8</w:t>
      </w:r>
      <w:r>
        <w:rPr>
          <w:rFonts w:hint="eastAsia" w:ascii="仿宋_GB2312" w:hAnsi="ˎ̥" w:eastAsia="仿宋_GB2312"/>
          <w:sz w:val="32"/>
          <w:szCs w:val="32"/>
        </w:rPr>
        <w:t>%，农林水支出</w:t>
      </w:r>
      <w:r>
        <w:rPr>
          <w:rFonts w:hint="eastAsia" w:ascii="仿宋_GB2312" w:hAnsi="ˎ̥" w:eastAsia="仿宋_GB2312"/>
          <w:sz w:val="32"/>
          <w:szCs w:val="32"/>
          <w:lang w:val="en-US" w:eastAsia="zh-CN"/>
        </w:rPr>
        <w:t>206.55</w:t>
      </w:r>
      <w:r>
        <w:rPr>
          <w:rFonts w:hint="eastAsia" w:ascii="仿宋_GB2312" w:hAnsi="ˎ̥" w:eastAsia="仿宋_GB2312"/>
          <w:sz w:val="32"/>
          <w:szCs w:val="32"/>
        </w:rPr>
        <w:t>万元，占</w:t>
      </w:r>
      <w:r>
        <w:rPr>
          <w:rFonts w:hint="eastAsia" w:ascii="仿宋_GB2312" w:hAnsi="ˎ̥" w:eastAsia="仿宋_GB2312"/>
          <w:sz w:val="32"/>
          <w:szCs w:val="32"/>
          <w:lang w:val="en-US" w:eastAsia="zh-CN"/>
        </w:rPr>
        <w:t>75.65</w:t>
      </w:r>
      <w:r>
        <w:rPr>
          <w:rFonts w:hint="eastAsia" w:ascii="仿宋_GB2312" w:hAnsi="ˎ̥" w:eastAsia="仿宋_GB2312"/>
          <w:sz w:val="32"/>
          <w:szCs w:val="32"/>
        </w:rPr>
        <w:t>%，住房保障支出</w:t>
      </w:r>
      <w:r>
        <w:rPr>
          <w:rFonts w:hint="eastAsia" w:ascii="仿宋_GB2312" w:hAnsi="ˎ̥" w:eastAsia="仿宋_GB2312"/>
          <w:sz w:val="32"/>
          <w:szCs w:val="32"/>
          <w:lang w:val="en-US" w:eastAsia="zh-CN"/>
        </w:rPr>
        <w:t>13.41</w:t>
      </w:r>
      <w:r>
        <w:rPr>
          <w:rFonts w:hint="eastAsia" w:ascii="仿宋_GB2312" w:hAnsi="ˎ̥" w:eastAsia="仿宋_GB2312"/>
          <w:sz w:val="32"/>
          <w:szCs w:val="32"/>
        </w:rPr>
        <w:t>万元，占4.</w:t>
      </w:r>
      <w:r>
        <w:rPr>
          <w:rFonts w:hint="eastAsia" w:ascii="仿宋_GB2312" w:hAnsi="ˎ̥" w:eastAsia="仿宋_GB2312"/>
          <w:sz w:val="32"/>
          <w:szCs w:val="32"/>
          <w:lang w:val="en-US" w:eastAsia="zh-CN"/>
        </w:rPr>
        <w:t>81</w:t>
      </w:r>
      <w:r>
        <w:rPr>
          <w:rFonts w:hint="eastAsia" w:ascii="仿宋_GB2312" w:hAnsi="ˎ̥" w:eastAsia="仿宋_GB2312"/>
          <w:sz w:val="32"/>
          <w:szCs w:val="32"/>
        </w:rPr>
        <w:t>%。</w:t>
      </w:r>
    </w:p>
    <w:p w14:paraId="0EA6A7AF">
      <w:pPr>
        <w:shd w:val="clear" w:color="auto" w:fill="FFFFFF"/>
        <w:spacing w:before="100" w:beforeAutospacing="1" w:after="100" w:afterAutospacing="1"/>
        <w:ind w:firstLine="640" w:firstLineChars="200"/>
        <w:rPr>
          <w:rFonts w:hint="eastAsia" w:ascii="楷体" w:hAnsi="楷体" w:eastAsia="楷体" w:cs="楷体"/>
          <w:sz w:val="32"/>
          <w:szCs w:val="32"/>
        </w:rPr>
      </w:pPr>
      <w:bookmarkStart w:id="91" w:name="_Toc25136_WPSOffice_Level2"/>
      <w:bookmarkStart w:id="92" w:name="_Toc22318_WPSOffice_Level2"/>
      <w:bookmarkStart w:id="93" w:name="_Toc9502_WPSOffice_Level2"/>
      <w:bookmarkStart w:id="94" w:name="_Toc15415_WPSOffice_Level2"/>
      <w:bookmarkStart w:id="95" w:name="_Toc29364_WPSOffice_Level2"/>
      <w:bookmarkStart w:id="96" w:name="_Toc21701_WPSOffice_Level2"/>
      <w:r>
        <w:rPr>
          <w:rFonts w:hint="eastAsia" w:ascii="楷体" w:hAnsi="楷体" w:eastAsia="楷体" w:cs="楷体"/>
          <w:sz w:val="32"/>
          <w:szCs w:val="32"/>
        </w:rPr>
        <w:t>（三）一般公共预算财政拨款支出决算具体情况。</w:t>
      </w:r>
      <w:bookmarkEnd w:id="91"/>
      <w:bookmarkEnd w:id="92"/>
      <w:bookmarkEnd w:id="93"/>
      <w:bookmarkEnd w:id="94"/>
      <w:bookmarkEnd w:id="95"/>
      <w:bookmarkEnd w:id="96"/>
    </w:p>
    <w:p w14:paraId="4E5D69D2">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年度一般公共预算财政拨款支出年初预算为</w:t>
      </w:r>
      <w:r>
        <w:rPr>
          <w:rFonts w:hint="eastAsia" w:ascii="仿宋_GB2312" w:hAnsi="ˎ̥" w:eastAsia="仿宋_GB2312"/>
          <w:sz w:val="32"/>
          <w:szCs w:val="32"/>
          <w:lang w:val="en-US" w:eastAsia="zh-CN"/>
        </w:rPr>
        <w:t>254.97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254.97</w:t>
      </w:r>
      <w:r>
        <w:rPr>
          <w:rFonts w:hint="eastAsia" w:ascii="仿宋_GB2312" w:hAnsi="ˎ̥" w:eastAsia="仿宋_GB2312"/>
          <w:sz w:val="32"/>
          <w:szCs w:val="32"/>
        </w:rPr>
        <w:t>万元，完成年初预算的100%。其中：</w:t>
      </w:r>
    </w:p>
    <w:p w14:paraId="654FA880">
      <w:pPr>
        <w:shd w:val="clear" w:color="auto" w:fill="FFFFFF"/>
        <w:spacing w:before="100" w:beforeAutospacing="1" w:after="100" w:afterAutospacing="1"/>
        <w:ind w:firstLine="640" w:firstLineChars="200"/>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一般公共服务（类）人大事务（款）行政运行（项）。</w:t>
      </w:r>
    </w:p>
    <w:p w14:paraId="327390C3">
      <w:pPr>
        <w:shd w:val="clear" w:color="auto" w:fill="FFFFFF"/>
        <w:spacing w:before="100" w:beforeAutospacing="1" w:after="100" w:afterAutospacing="1"/>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254.97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254.97</w:t>
      </w:r>
      <w:r>
        <w:rPr>
          <w:rFonts w:hint="eastAsia" w:ascii="仿宋_GB2312" w:hAnsi="ˎ̥" w:eastAsia="仿宋_GB2312"/>
          <w:sz w:val="32"/>
          <w:szCs w:val="32"/>
        </w:rPr>
        <w:t>万元，完成年初预算的100%。没有决算数小于预算数。</w:t>
      </w:r>
    </w:p>
    <w:p w14:paraId="37ED9179">
      <w:pPr>
        <w:shd w:val="clear" w:color="auto" w:fill="FFFFFF"/>
        <w:spacing w:before="100" w:beforeAutospacing="1" w:after="100" w:afterAutospacing="1"/>
        <w:ind w:firstLine="627" w:firstLineChars="196"/>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5C4424E0">
      <w:pPr>
        <w:shd w:val="clear" w:color="auto" w:fill="FFFFFF"/>
        <w:tabs>
          <w:tab w:val="center" w:pos="4473"/>
        </w:tabs>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年度财政拨款基本支出</w:t>
      </w:r>
      <w:r>
        <w:rPr>
          <w:rFonts w:hint="eastAsia" w:ascii="仿宋_GB2312" w:hAnsi="ˎ̥" w:eastAsia="仿宋_GB2312"/>
          <w:sz w:val="32"/>
          <w:szCs w:val="32"/>
          <w:lang w:val="en-US" w:eastAsia="zh-CN"/>
        </w:rPr>
        <w:t>227.79</w:t>
      </w:r>
      <w:r>
        <w:rPr>
          <w:rFonts w:hint="eastAsia" w:ascii="仿宋_GB2312" w:hAnsi="ˎ̥" w:eastAsia="仿宋_GB2312"/>
          <w:sz w:val="32"/>
          <w:szCs w:val="32"/>
        </w:rPr>
        <w:t>万元，其中：人员经费</w:t>
      </w:r>
      <w:r>
        <w:rPr>
          <w:rFonts w:hint="eastAsia" w:ascii="仿宋_GB2312" w:hAnsi="ˎ̥" w:eastAsia="仿宋_GB2312"/>
          <w:sz w:val="32"/>
          <w:szCs w:val="32"/>
          <w:lang w:val="en-US" w:eastAsia="zh-CN"/>
        </w:rPr>
        <w:t>199.17</w:t>
      </w:r>
      <w:r>
        <w:rPr>
          <w:rFonts w:hint="eastAsia" w:ascii="仿宋_GB2312" w:hAnsi="ˎ̥" w:eastAsia="仿宋_GB2312"/>
          <w:sz w:val="32"/>
          <w:szCs w:val="32"/>
        </w:rPr>
        <w:t>万元，主要包括：基本工资、津贴补贴、奖金、社会保障缴费、伙食费、伙食补助费、绩效工资、其他工资福利支出等、离休费、退休费、退职（役）费、抚恤金、生活补助、救济费、医疗费、助学金、奖励金、生产补贴、住房公积金、提租补贴、购房补贴、其他对个人和家庭的补助支出等。公用经费</w:t>
      </w:r>
      <w:r>
        <w:rPr>
          <w:rFonts w:hint="eastAsia" w:ascii="仿宋_GB2312" w:hAnsi="ˎ̥" w:eastAsia="仿宋_GB2312"/>
          <w:sz w:val="32"/>
          <w:szCs w:val="32"/>
          <w:lang w:val="en-US" w:eastAsia="zh-CN"/>
        </w:rPr>
        <w:t>28.62</w:t>
      </w:r>
      <w:r>
        <w:rPr>
          <w:rFonts w:hint="eastAsia" w:ascii="仿宋_GB2312" w:hAnsi="ˎ̥" w:eastAsia="仿宋_GB2312"/>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w:t>
      </w:r>
    </w:p>
    <w:p w14:paraId="1B4A3A26">
      <w:pPr>
        <w:shd w:val="clear" w:color="auto" w:fill="FFFFFF"/>
        <w:tabs>
          <w:tab w:val="center" w:pos="4473"/>
        </w:tabs>
        <w:spacing w:before="100" w:beforeAutospacing="1" w:after="100" w:afterAutospacing="1"/>
        <w:ind w:firstLine="627" w:firstLineChars="196"/>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699B04A8">
      <w:pPr>
        <w:shd w:val="clear" w:color="auto" w:fill="FFFFFF"/>
        <w:spacing w:before="100" w:beforeAutospacing="1" w:after="100" w:afterAutospacing="1"/>
        <w:ind w:firstLine="640" w:firstLineChars="200"/>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14:paraId="4880D329">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年度政府性基金预算财政拨款支出0万元，</w:t>
      </w:r>
      <w:r>
        <w:rPr>
          <w:rFonts w:hint="eastAsia"/>
        </w:rPr>
        <w:t xml:space="preserve"> </w:t>
      </w:r>
      <w:r>
        <w:rPr>
          <w:rFonts w:hint="eastAsia" w:ascii="仿宋_GB2312" w:hAnsi="ˎ̥" w:eastAsia="仿宋_GB2312"/>
          <w:sz w:val="32"/>
          <w:szCs w:val="32"/>
        </w:rPr>
        <w:t>本年没有发生与该表相关的收支决算数据。</w:t>
      </w:r>
    </w:p>
    <w:p w14:paraId="33847534">
      <w:pPr>
        <w:shd w:val="clear" w:color="auto" w:fill="FFFFFF"/>
        <w:spacing w:before="100" w:beforeAutospacing="1" w:after="100" w:afterAutospacing="1"/>
        <w:ind w:firstLine="640" w:firstLineChars="200"/>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14:paraId="0D31A8B0">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年度政府性基金预算财政拨款支出0元，本年没有发生与该表相关的收支决算数据。</w:t>
      </w:r>
    </w:p>
    <w:p w14:paraId="28F1A956">
      <w:pPr>
        <w:shd w:val="clear" w:color="auto" w:fill="FFFFFF"/>
        <w:spacing w:before="100" w:beforeAutospacing="1" w:after="100" w:afterAutospacing="1"/>
        <w:ind w:firstLine="640" w:firstLineChars="200"/>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14:paraId="3D30DD96">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年度政府性基金预算财政拨款支出年初预算为0元，本年没有发生与该表相关的收支决算数据。</w:t>
      </w:r>
    </w:p>
    <w:p w14:paraId="5E141F64">
      <w:pPr>
        <w:shd w:val="clear" w:color="auto" w:fill="FFFFFF"/>
        <w:tabs>
          <w:tab w:val="center" w:pos="4473"/>
        </w:tabs>
        <w:spacing w:before="100" w:beforeAutospacing="1" w:after="100" w:afterAutospacing="1"/>
        <w:ind w:firstLine="627" w:firstLineChars="196"/>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1105D4DC">
      <w:pPr>
        <w:shd w:val="clear" w:color="auto" w:fill="FFFFFF"/>
        <w:spacing w:before="100" w:beforeAutospacing="1" w:after="100" w:afterAutospacing="1"/>
        <w:ind w:firstLine="640" w:firstLineChars="200"/>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14:paraId="27C08201">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年度国有资本经营预算财政拨款支出0元，本年没有发生与该表相关的收支决算数据。</w:t>
      </w:r>
    </w:p>
    <w:p w14:paraId="3F25E846">
      <w:pPr>
        <w:shd w:val="clear" w:color="auto" w:fill="FFFFFF"/>
        <w:spacing w:before="100" w:beforeAutospacing="1" w:after="100" w:afterAutospacing="1"/>
        <w:ind w:firstLine="640" w:firstLineChars="200"/>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14:paraId="7C426751">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年度国有资本经营预算财政拨款支出0万元，本年没有发生与该表相关的收支决算数据。</w:t>
      </w:r>
    </w:p>
    <w:p w14:paraId="5F62CE89">
      <w:pPr>
        <w:shd w:val="clear" w:color="auto" w:fill="FFFFFF"/>
        <w:spacing w:before="100" w:beforeAutospacing="1" w:after="100" w:afterAutospacing="1"/>
        <w:ind w:firstLine="640" w:firstLineChars="200"/>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14:paraId="557F38ED">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年度国有资本经营预算财政拨款支出年初预算为0元，本年没有发生与该表相关的收支决算数据。</w:t>
      </w:r>
    </w:p>
    <w:p w14:paraId="67D3F94A">
      <w:pPr>
        <w:shd w:val="clear" w:color="auto" w:fill="FFFFFF"/>
        <w:spacing w:before="100" w:beforeAutospacing="1" w:after="100" w:afterAutospacing="1"/>
        <w:rPr>
          <w:rFonts w:hint="eastAsia" w:ascii="仿宋_GB2312" w:hAnsi="ˎ̥" w:eastAsia="仿宋_GB2312"/>
          <w:sz w:val="32"/>
          <w:szCs w:val="32"/>
        </w:rPr>
      </w:pPr>
      <w:r>
        <w:rPr>
          <w:rFonts w:hint="eastAsia" w:ascii="仿宋_GB2312" w:hAnsi="ˎ̥" w:eastAsia="仿宋_GB2312"/>
          <w:sz w:val="32"/>
          <w:szCs w:val="32"/>
        </w:rPr>
        <w:t xml:space="preserve">    </w:t>
      </w:r>
      <w:r>
        <w:rPr>
          <w:rFonts w:hint="eastAsia" w:ascii="黑体" w:hAnsi="黑体" w:eastAsia="黑体" w:cs="黑体"/>
          <w:bCs/>
          <w:sz w:val="32"/>
          <w:szCs w:val="32"/>
        </w:rPr>
        <w:t>九、一般公共预算财政拨款“三公”经费支出决算情况说明</w:t>
      </w:r>
    </w:p>
    <w:p w14:paraId="11F92FA6">
      <w:pPr>
        <w:shd w:val="clear" w:color="auto" w:fill="FFFFFF"/>
        <w:spacing w:before="100" w:beforeAutospacing="1" w:after="100" w:afterAutospacing="1"/>
        <w:ind w:firstLine="643" w:firstLineChars="200"/>
        <w:rPr>
          <w:rFonts w:hint="eastAsia" w:ascii="楷体" w:hAnsi="楷体" w:eastAsia="楷体" w:cs="楷体"/>
          <w:sz w:val="32"/>
          <w:szCs w:val="32"/>
        </w:rPr>
      </w:pPr>
      <w:r>
        <w:rPr>
          <w:rFonts w:hint="eastAsia" w:ascii="楷体" w:hAnsi="楷体" w:eastAsia="楷体" w:cs="楷体"/>
          <w:b/>
          <w:sz w:val="32"/>
          <w:szCs w:val="32"/>
        </w:rPr>
        <w:t>（一）一般公共预算财政拨款“三公”经费支出决算总体情况说明。</w:t>
      </w:r>
    </w:p>
    <w:p w14:paraId="1C7075F9">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 xml:space="preserve">    202</w:t>
      </w:r>
      <w:r>
        <w:rPr>
          <w:rFonts w:hint="eastAsia" w:ascii="仿宋_GB2312" w:hAnsi="ˎ̥" w:eastAsia="仿宋_GB2312"/>
          <w:sz w:val="32"/>
          <w:szCs w:val="32"/>
          <w:lang w:val="en-US" w:eastAsia="zh-CN"/>
        </w:rPr>
        <w:t>4</w:t>
      </w:r>
      <w:r>
        <w:rPr>
          <w:rFonts w:hint="eastAsia" w:ascii="仿宋_GB2312" w:hAnsi="ˎ̥" w:eastAsia="仿宋_GB2312"/>
          <w:sz w:val="32"/>
          <w:szCs w:val="32"/>
        </w:rPr>
        <w:t>年度一般公共预算财政拨款“三公”经费支出预算为0万元，本年没有发生与该表相关的收支决算数据。</w:t>
      </w:r>
    </w:p>
    <w:p w14:paraId="10A0C65D">
      <w:pPr>
        <w:shd w:val="clear" w:color="auto" w:fill="FFFFFF"/>
        <w:spacing w:before="100" w:beforeAutospacing="1" w:after="100" w:afterAutospacing="1"/>
        <w:rPr>
          <w:rFonts w:hint="eastAsia" w:ascii="楷体" w:hAnsi="楷体" w:eastAsia="楷体" w:cs="楷体"/>
          <w:b/>
          <w:bCs/>
          <w:sz w:val="32"/>
          <w:szCs w:val="32"/>
        </w:rPr>
      </w:pPr>
      <w:r>
        <w:rPr>
          <w:rFonts w:hint="eastAsia" w:ascii="楷体" w:hAnsi="楷体" w:eastAsia="楷体" w:cs="楷体"/>
          <w:b/>
          <w:bCs/>
          <w:sz w:val="32"/>
          <w:szCs w:val="32"/>
        </w:rPr>
        <w:t xml:space="preserve">    （二）一般公共预算财政拨款“三公”经费支出决算具体情况说明。</w:t>
      </w:r>
    </w:p>
    <w:p w14:paraId="7A79B32E">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年度一般公共预算财政拨款“三公”经费支出决算中，因公出国（境）费支出决算0元，本年没有发生与该表相关的收支决算数据。</w:t>
      </w:r>
    </w:p>
    <w:p w14:paraId="334B057D">
      <w:pPr>
        <w:shd w:val="clear" w:color="auto" w:fill="FFFFFF"/>
        <w:spacing w:before="100" w:beforeAutospacing="1" w:after="100" w:afterAutospacing="1"/>
        <w:ind w:firstLine="643" w:firstLineChars="200"/>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支出0元。全年安排因公出国（境）团组0</w:t>
      </w:r>
      <w:r>
        <w:rPr>
          <w:rStyle w:val="8"/>
          <w:rFonts w:hint="eastAsia" w:ascii="仿宋_GB2312" w:hAnsi="ˎ̥" w:eastAsia="仿宋_GB2312"/>
          <w:sz w:val="32"/>
          <w:szCs w:val="32"/>
        </w:rPr>
        <w:t>个</w:t>
      </w:r>
      <w:r>
        <w:rPr>
          <w:rFonts w:hint="eastAsia" w:ascii="仿宋_GB2312" w:hAnsi="ˎ̥" w:eastAsia="仿宋_GB2312"/>
          <w:sz w:val="32"/>
          <w:szCs w:val="32"/>
        </w:rPr>
        <w:t>，因公出国（境）0人次，本年没有发生与该表相关的收支决算数据。</w:t>
      </w:r>
    </w:p>
    <w:p w14:paraId="2701C76F">
      <w:pPr>
        <w:shd w:val="clear" w:color="auto" w:fill="FFFFFF"/>
        <w:spacing w:before="100" w:beforeAutospacing="1" w:after="100" w:afterAutospacing="1"/>
        <w:ind w:firstLine="643" w:firstLineChars="200"/>
        <w:rPr>
          <w:rFonts w:hint="eastAsia" w:ascii="仿宋_GB2312" w:hAnsi="ˎ̥" w:eastAsia="仿宋_GB2312"/>
          <w:sz w:val="32"/>
          <w:szCs w:val="32"/>
        </w:rPr>
      </w:pPr>
      <w:r>
        <w:rPr>
          <w:rFonts w:hint="eastAsia" w:ascii="仿宋_GB2312" w:hAnsi="ˎ̥" w:eastAsia="仿宋_GB2312"/>
          <w:b/>
          <w:sz w:val="32"/>
          <w:szCs w:val="32"/>
        </w:rPr>
        <w:t xml:space="preserve">    2.公务用车购置及运行费支出</w:t>
      </w:r>
      <w:r>
        <w:rPr>
          <w:rFonts w:hint="eastAsia" w:ascii="仿宋_GB2312" w:hAnsi="ˎ̥" w:eastAsia="仿宋_GB2312"/>
          <w:sz w:val="32"/>
          <w:szCs w:val="32"/>
        </w:rPr>
        <w:t>0元，本年没有发生与该表相关的收支决算数据。</w:t>
      </w:r>
    </w:p>
    <w:p w14:paraId="379BD216">
      <w:pPr>
        <w:shd w:val="clear" w:color="auto" w:fill="FFFFFF"/>
        <w:spacing w:before="100" w:beforeAutospacing="1" w:after="100" w:afterAutospacing="1"/>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支出0元，本年没有发生与该表相关的收支决算数据。</w:t>
      </w:r>
    </w:p>
    <w:p w14:paraId="49B08F74">
      <w:pPr>
        <w:shd w:val="clear" w:color="auto" w:fill="FFFFFF"/>
        <w:spacing w:before="100" w:beforeAutospacing="1" w:after="100" w:afterAutospacing="1"/>
        <w:ind w:firstLine="643" w:firstLineChars="200"/>
        <w:rPr>
          <w:rFonts w:hint="eastAsia" w:ascii="仿宋_GB2312" w:hAnsi="ˎ̥" w:eastAsia="仿宋_GB2312"/>
          <w:sz w:val="32"/>
          <w:szCs w:val="32"/>
        </w:rPr>
      </w:pPr>
      <w:r>
        <w:rPr>
          <w:rFonts w:hint="eastAsia" w:ascii="仿宋_GB2312" w:hAnsi="ˎ̥" w:eastAsia="仿宋_GB2312"/>
          <w:b/>
          <w:sz w:val="32"/>
          <w:szCs w:val="32"/>
        </w:rPr>
        <w:t xml:space="preserve">    3.公务接待费支出</w:t>
      </w:r>
      <w:r>
        <w:rPr>
          <w:rFonts w:hint="eastAsia" w:ascii="仿宋_GB2312" w:hAnsi="ˎ̥" w:eastAsia="仿宋_GB2312"/>
          <w:sz w:val="32"/>
          <w:szCs w:val="32"/>
        </w:rPr>
        <w:t>0元，本年没有发生与该表相关的收支决算数据。</w:t>
      </w:r>
    </w:p>
    <w:p w14:paraId="0204D92E">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国（境）外接待费支出0元，本年没有发生与该表相关的收支决算数据。</w:t>
      </w:r>
    </w:p>
    <w:p w14:paraId="5A7F9354">
      <w:pPr>
        <w:shd w:val="clear" w:color="auto" w:fill="FFFFFF"/>
        <w:spacing w:before="100" w:beforeAutospacing="1" w:after="100" w:afterAutospacing="1"/>
        <w:ind w:firstLine="627" w:firstLineChars="196"/>
        <w:rPr>
          <w:rFonts w:hint="eastAsia" w:ascii="仿宋_GB2312" w:hAnsi="ˎ̥" w:eastAsia="楷体_GB2312"/>
          <w:sz w:val="32"/>
          <w:szCs w:val="32"/>
        </w:rPr>
      </w:pPr>
      <w:r>
        <w:rPr>
          <w:rFonts w:hint="eastAsia" w:ascii="黑体" w:hAnsi="黑体" w:eastAsia="黑体" w:cs="黑体"/>
          <w:bCs/>
          <w:sz w:val="32"/>
          <w:szCs w:val="32"/>
        </w:rPr>
        <w:t>十、政府性基金预算财政拨款“三公”经费支出决算情况说明</w:t>
      </w:r>
    </w:p>
    <w:p w14:paraId="17EF206D">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年度政府性基金预算财政拨款“三公”经费支出合计0元，本年没有发生与该表相关的收支决算数据。</w:t>
      </w:r>
    </w:p>
    <w:p w14:paraId="2B4CEF30">
      <w:pPr>
        <w:shd w:val="clear" w:color="auto" w:fill="FFFFFF"/>
        <w:spacing w:before="100" w:beforeAutospacing="1" w:after="100" w:afterAutospacing="1"/>
        <w:ind w:firstLine="640" w:firstLineChars="200"/>
        <w:rPr>
          <w:rFonts w:hint="eastAsia" w:ascii="仿宋_GB2312" w:hAnsi="ˎ̥" w:eastAsia="楷体_GB2312"/>
          <w:sz w:val="32"/>
          <w:szCs w:val="32"/>
        </w:rPr>
      </w:pPr>
      <w:r>
        <w:rPr>
          <w:rFonts w:hint="eastAsia" w:ascii="黑体" w:hAnsi="黑体" w:eastAsia="黑体" w:cs="黑体"/>
          <w:bCs/>
          <w:sz w:val="32"/>
          <w:szCs w:val="32"/>
        </w:rPr>
        <w:t>十一、国有资本经营预算财政拨款“三公”经费支出决算情况说明</w:t>
      </w:r>
    </w:p>
    <w:p w14:paraId="08DFFDBF">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年度国有资本经营预算财政拨款“三公”经费支出合计0元，本年没有发生与该表相关的收支决算数据。</w:t>
      </w:r>
    </w:p>
    <w:p w14:paraId="13279C93">
      <w:pPr>
        <w:shd w:val="clear" w:color="auto" w:fill="FFFFFF"/>
        <w:spacing w:before="100" w:beforeAutospacing="1" w:after="100" w:afterAutospacing="1"/>
        <w:ind w:firstLine="640" w:firstLineChars="200"/>
        <w:rPr>
          <w:rFonts w:hint="eastAsia" w:ascii="黑体" w:hAnsi="黑体" w:eastAsia="黑体" w:cs="黑体"/>
          <w:bCs/>
          <w:sz w:val="32"/>
          <w:szCs w:val="32"/>
        </w:rPr>
      </w:pPr>
      <w:r>
        <w:rPr>
          <w:rFonts w:hint="eastAsia" w:ascii="黑体" w:hAnsi="黑体" w:eastAsia="黑体" w:cs="黑体"/>
          <w:bCs/>
          <w:sz w:val="32"/>
          <w:szCs w:val="32"/>
        </w:rPr>
        <w:t>十二、预算绩效情况说明。</w:t>
      </w:r>
    </w:p>
    <w:p w14:paraId="1B94A431">
      <w:pPr>
        <w:shd w:val="clear" w:color="auto" w:fill="FFFFFF"/>
        <w:spacing w:before="100" w:beforeAutospacing="1" w:after="100" w:afterAutospacing="1"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（一）绩效管理工作开展情况。</w:t>
      </w:r>
    </w:p>
    <w:p w14:paraId="070BC295">
      <w:pPr>
        <w:shd w:val="clear" w:color="auto" w:fill="FFFFFF"/>
        <w:spacing w:before="100" w:beforeAutospacing="1" w:after="100" w:afterAutospacing="1" w:line="578" w:lineRule="exact"/>
        <w:ind w:firstLine="640" w:firstLineChars="200"/>
        <w:rPr>
          <w:rFonts w:hint="eastAsia" w:ascii="仿宋_GB2312" w:eastAsia="仿宋_GB2312"/>
          <w:sz w:val="32"/>
          <w:szCs w:val="32"/>
        </w:rPr>
      </w:pPr>
      <w:r>
        <w:rPr>
          <w:rFonts w:hint="eastAsia" w:ascii="仿宋_GB2312" w:eastAsia="仿宋_GB2312"/>
          <w:sz w:val="32"/>
          <w:szCs w:val="32"/>
        </w:rPr>
        <w:t>根据财政预算管理要求，我部门（单位）组织对202</w:t>
      </w:r>
      <w:r>
        <w:rPr>
          <w:rFonts w:hint="eastAsia" w:ascii="仿宋_GB2312" w:eastAsia="仿宋_GB2312"/>
          <w:sz w:val="32"/>
          <w:szCs w:val="32"/>
          <w:lang w:val="en-US" w:eastAsia="zh-CN"/>
        </w:rPr>
        <w:t>4</w:t>
      </w:r>
      <w:r>
        <w:rPr>
          <w:rFonts w:hint="eastAsia" w:ascii="仿宋_GB2312" w:eastAsia="仿宋_GB2312"/>
          <w:sz w:val="32"/>
          <w:szCs w:val="32"/>
        </w:rPr>
        <w:t>年度一般公共预算项目支出全面开展绩效自评。自评项目1</w:t>
      </w:r>
      <w:r>
        <w:rPr>
          <w:rStyle w:val="8"/>
          <w:rFonts w:hint="eastAsia" w:ascii="仿宋_GB2312" w:eastAsia="仿宋_GB2312"/>
          <w:sz w:val="32"/>
          <w:szCs w:val="32"/>
        </w:rPr>
        <w:t>个</w:t>
      </w:r>
      <w:r>
        <w:rPr>
          <w:rFonts w:hint="eastAsia" w:ascii="仿宋_GB2312" w:eastAsia="仿宋_GB2312"/>
          <w:sz w:val="32"/>
          <w:szCs w:val="32"/>
        </w:rPr>
        <w:t>，共涉及资金</w:t>
      </w:r>
      <w:r>
        <w:rPr>
          <w:rFonts w:hint="eastAsia" w:ascii="仿宋_GB2312" w:eastAsia="仿宋_GB2312"/>
          <w:sz w:val="32"/>
          <w:szCs w:val="32"/>
          <w:lang w:val="en-US" w:eastAsia="zh-CN"/>
        </w:rPr>
        <w:t>21.39</w:t>
      </w:r>
      <w:r>
        <w:rPr>
          <w:rFonts w:hint="eastAsia" w:ascii="仿宋_GB2312" w:eastAsia="仿宋_GB2312"/>
          <w:sz w:val="32"/>
          <w:szCs w:val="32"/>
        </w:rPr>
        <w:t>万元，自评覆盖率达到50%。</w:t>
      </w:r>
    </w:p>
    <w:p w14:paraId="6CAF55E0">
      <w:pPr>
        <w:shd w:val="clear" w:color="auto" w:fill="FFFFFF"/>
        <w:spacing w:before="100" w:beforeAutospacing="1" w:after="100" w:afterAutospacing="1"/>
        <w:ind w:firstLine="640" w:firstLineChars="200"/>
        <w:rPr>
          <w:rFonts w:hint="eastAsia" w:ascii="仿宋_GB2312" w:eastAsia="仿宋_GB2312"/>
          <w:sz w:val="32"/>
          <w:szCs w:val="32"/>
        </w:rPr>
      </w:pPr>
      <w:r>
        <w:rPr>
          <w:rFonts w:hint="eastAsia" w:ascii="仿宋_GB2312" w:eastAsia="仿宋_GB2312"/>
          <w:sz w:val="32"/>
          <w:szCs w:val="32"/>
        </w:rPr>
        <w:t>共组织对“</w:t>
      </w:r>
      <w:bookmarkStart w:id="97" w:name="_Hlk177125635"/>
      <w:r>
        <w:rPr>
          <w:rFonts w:hint="eastAsia" w:ascii="仿宋_GB2312" w:eastAsia="仿宋_GB2312"/>
          <w:sz w:val="32"/>
          <w:szCs w:val="32"/>
        </w:rPr>
        <w:t>重点生态公益林</w:t>
      </w:r>
      <w:bookmarkEnd w:id="97"/>
      <w:r>
        <w:rPr>
          <w:rFonts w:hint="eastAsia" w:ascii="仿宋_GB2312" w:eastAsia="仿宋_GB2312"/>
          <w:sz w:val="32"/>
          <w:szCs w:val="32"/>
        </w:rPr>
        <w:t>”项目开展了部门评价，涉及资金</w:t>
      </w:r>
      <w:r>
        <w:rPr>
          <w:rFonts w:hint="eastAsia" w:ascii="仿宋_GB2312" w:eastAsia="仿宋_GB2312"/>
          <w:sz w:val="32"/>
          <w:szCs w:val="32"/>
          <w:lang w:val="en-US" w:eastAsia="zh-CN"/>
        </w:rPr>
        <w:t>21.39</w:t>
      </w:r>
      <w:r>
        <w:rPr>
          <w:rFonts w:hint="eastAsia" w:ascii="仿宋_GB2312" w:eastAsia="仿宋_GB2312"/>
          <w:sz w:val="32"/>
          <w:szCs w:val="32"/>
        </w:rPr>
        <w:t>万元。从评价情况来看，</w:t>
      </w:r>
      <w:r>
        <w:rPr>
          <w:rFonts w:hint="eastAsia" w:ascii="仿宋" w:hAnsi="仿宋" w:eastAsia="仿宋"/>
          <w:sz w:val="32"/>
          <w:szCs w:val="32"/>
        </w:rPr>
        <w:t>一是项目支出控制在预算范围内，发挥了资金使用效益；二是项目按时按质按量完成，项目绩效目标达标率为100%</w:t>
      </w:r>
      <w:r>
        <w:rPr>
          <w:rFonts w:hint="eastAsia" w:ascii="仿宋_GB2312" w:eastAsia="仿宋_GB2312"/>
          <w:sz w:val="32"/>
          <w:szCs w:val="32"/>
        </w:rPr>
        <w:t>。</w:t>
      </w:r>
    </w:p>
    <w:p w14:paraId="0D08C946">
      <w:pPr>
        <w:shd w:val="clear" w:color="auto" w:fill="FFFFFF"/>
        <w:spacing w:before="100" w:beforeAutospacing="1" w:after="100" w:afterAutospacing="1"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（二）部门决算</w:t>
      </w:r>
      <w:r>
        <w:rPr>
          <w:rStyle w:val="8"/>
          <w:rFonts w:hint="eastAsia" w:ascii="楷体" w:hAnsi="楷体" w:eastAsia="楷体" w:cs="楷体"/>
          <w:b/>
          <w:sz w:val="32"/>
          <w:szCs w:val="32"/>
        </w:rPr>
        <w:t>中项目</w:t>
      </w:r>
      <w:r>
        <w:rPr>
          <w:rFonts w:hint="eastAsia" w:ascii="楷体" w:hAnsi="楷体" w:eastAsia="楷体" w:cs="楷体"/>
          <w:b/>
          <w:sz w:val="32"/>
          <w:szCs w:val="32"/>
        </w:rPr>
        <w:t>绩效自评结果。</w:t>
      </w:r>
    </w:p>
    <w:p w14:paraId="348C7DB7">
      <w:pPr>
        <w:shd w:val="clear" w:color="auto" w:fill="FFFFFF"/>
        <w:spacing w:before="100" w:beforeAutospacing="1" w:after="100" w:afterAutospacing="1" w:line="578" w:lineRule="exact"/>
        <w:ind w:firstLine="640" w:firstLineChars="200"/>
        <w:rPr>
          <w:rFonts w:hint="eastAsia" w:ascii="仿宋_GB2312" w:eastAsia="仿宋_GB2312"/>
          <w:sz w:val="32"/>
          <w:szCs w:val="32"/>
        </w:rPr>
      </w:pPr>
      <w:r>
        <w:rPr>
          <w:rFonts w:hint="eastAsia" w:ascii="仿宋_GB2312" w:eastAsia="仿宋_GB2312"/>
          <w:sz w:val="32"/>
          <w:szCs w:val="32"/>
        </w:rPr>
        <w:t>根据财政预算管理要求，我部门（单位）组织对202</w:t>
      </w:r>
      <w:r>
        <w:rPr>
          <w:rFonts w:hint="eastAsia" w:ascii="仿宋_GB2312" w:eastAsia="仿宋_GB2312"/>
          <w:sz w:val="32"/>
          <w:szCs w:val="32"/>
          <w:lang w:val="en-US" w:eastAsia="zh-CN"/>
        </w:rPr>
        <w:t>4</w:t>
      </w:r>
      <w:r>
        <w:rPr>
          <w:rFonts w:hint="eastAsia" w:ascii="仿宋_GB2312" w:eastAsia="仿宋_GB2312"/>
          <w:sz w:val="32"/>
          <w:szCs w:val="32"/>
        </w:rPr>
        <w:t>年度一般公共预算项目支出全面开展绩效自评。自评项目1</w:t>
      </w:r>
      <w:r>
        <w:rPr>
          <w:rStyle w:val="8"/>
          <w:rFonts w:hint="eastAsia" w:ascii="仿宋_GB2312" w:eastAsia="仿宋_GB2312"/>
          <w:sz w:val="32"/>
          <w:szCs w:val="32"/>
        </w:rPr>
        <w:t>个</w:t>
      </w:r>
      <w:r>
        <w:rPr>
          <w:rFonts w:hint="eastAsia" w:ascii="仿宋_GB2312" w:eastAsia="仿宋_GB2312"/>
          <w:sz w:val="32"/>
          <w:szCs w:val="32"/>
        </w:rPr>
        <w:t>，共涉及资金</w:t>
      </w:r>
      <w:r>
        <w:rPr>
          <w:rFonts w:hint="eastAsia" w:ascii="仿宋_GB2312" w:eastAsia="仿宋_GB2312"/>
          <w:sz w:val="32"/>
          <w:szCs w:val="32"/>
          <w:lang w:val="en-US" w:eastAsia="zh-CN"/>
        </w:rPr>
        <w:t>21.39</w:t>
      </w:r>
      <w:r>
        <w:rPr>
          <w:rFonts w:hint="eastAsia" w:ascii="仿宋_GB2312" w:eastAsia="仿宋_GB2312"/>
          <w:sz w:val="32"/>
          <w:szCs w:val="32"/>
        </w:rPr>
        <w:t>万元，自评覆盖率达到50%。</w:t>
      </w:r>
    </w:p>
    <w:p w14:paraId="6AB612B0">
      <w:pPr>
        <w:shd w:val="clear" w:color="auto" w:fill="FFFFFF"/>
        <w:spacing w:before="100" w:beforeAutospacing="1" w:after="100" w:afterAutospacing="1" w:line="578" w:lineRule="exact"/>
        <w:ind w:firstLine="640" w:firstLineChars="200"/>
        <w:rPr>
          <w:rFonts w:hint="eastAsia" w:ascii="楷体" w:hAnsi="楷体" w:eastAsia="楷体" w:cs="楷体"/>
          <w:b/>
          <w:sz w:val="32"/>
          <w:szCs w:val="32"/>
        </w:rPr>
      </w:pPr>
      <w:r>
        <w:rPr>
          <w:rFonts w:hint="eastAsia" w:ascii="仿宋_GB2312" w:eastAsia="仿宋_GB2312"/>
          <w:sz w:val="32"/>
          <w:szCs w:val="32"/>
        </w:rPr>
        <w:t>共组织对“重点生态公益林”项目开展了部门评价，涉及资金</w:t>
      </w:r>
      <w:r>
        <w:rPr>
          <w:rFonts w:hint="eastAsia" w:ascii="仿宋_GB2312" w:eastAsia="仿宋_GB2312"/>
          <w:sz w:val="32"/>
          <w:szCs w:val="32"/>
          <w:lang w:val="en-US" w:eastAsia="zh-CN"/>
        </w:rPr>
        <w:t>21.39</w:t>
      </w:r>
      <w:r>
        <w:rPr>
          <w:rFonts w:hint="eastAsia" w:ascii="仿宋_GB2312" w:eastAsia="仿宋_GB2312"/>
          <w:sz w:val="32"/>
          <w:szCs w:val="32"/>
        </w:rPr>
        <w:t>万元。从评价情况来看，</w:t>
      </w:r>
      <w:r>
        <w:rPr>
          <w:rFonts w:hint="eastAsia" w:ascii="仿宋" w:hAnsi="仿宋" w:eastAsia="仿宋"/>
          <w:sz w:val="32"/>
          <w:szCs w:val="32"/>
        </w:rPr>
        <w:t>一是项目支出控制在预算范围内，发挥了资金使用效益；二是项目按时按质按量完成，项目绩效目标达标率为100%</w:t>
      </w:r>
      <w:r>
        <w:rPr>
          <w:rFonts w:hint="eastAsia" w:ascii="仿宋_GB2312" w:eastAsia="仿宋_GB2312"/>
          <w:sz w:val="32"/>
          <w:szCs w:val="32"/>
        </w:rPr>
        <w:t>。</w:t>
      </w:r>
    </w:p>
    <w:p w14:paraId="476E1F3D">
      <w:pPr>
        <w:ind w:firstLine="640" w:firstLineChars="200"/>
        <w:rPr>
          <w:rFonts w:hint="eastAsia" w:ascii="仿宋" w:hAnsi="仿宋" w:eastAsia="仿宋"/>
          <w:sz w:val="32"/>
          <w:szCs w:val="32"/>
        </w:rPr>
      </w:pPr>
      <w:r>
        <w:rPr>
          <w:rFonts w:hint="eastAsia" w:ascii="仿宋" w:hAnsi="仿宋" w:eastAsia="仿宋"/>
          <w:sz w:val="32"/>
          <w:szCs w:val="32"/>
        </w:rPr>
        <w:t>我单位今年在省本级部门决算中反映森林生态效益补偿项目绩效自评结果。</w:t>
      </w:r>
    </w:p>
    <w:p w14:paraId="15B327D9">
      <w:pPr>
        <w:ind w:firstLine="640" w:firstLineChars="200"/>
        <w:rPr>
          <w:rFonts w:hint="eastAsia" w:ascii="仿宋" w:hAnsi="仿宋" w:eastAsia="仿宋"/>
          <w:sz w:val="32"/>
          <w:szCs w:val="32"/>
        </w:rPr>
      </w:pPr>
      <w:r>
        <w:rPr>
          <w:rFonts w:hint="eastAsia" w:ascii="仿宋" w:hAnsi="仿宋" w:eastAsia="仿宋"/>
          <w:sz w:val="32"/>
          <w:szCs w:val="32"/>
        </w:rPr>
        <w:t>生态公益林管护项目绩效自评综述：根据年初设定的绩效目标，项目自评得分为98分。全年预算数为</w:t>
      </w:r>
      <w:r>
        <w:rPr>
          <w:rFonts w:hint="eastAsia" w:ascii="仿宋" w:hAnsi="仿宋" w:eastAsia="仿宋"/>
          <w:sz w:val="32"/>
          <w:szCs w:val="32"/>
          <w:lang w:val="en-US" w:eastAsia="zh-CN"/>
        </w:rPr>
        <w:t>21.39</w:t>
      </w:r>
      <w:r>
        <w:rPr>
          <w:rFonts w:hint="eastAsia" w:ascii="仿宋" w:hAnsi="仿宋" w:eastAsia="仿宋"/>
          <w:sz w:val="32"/>
          <w:szCs w:val="32"/>
        </w:rPr>
        <w:t>万元，执行数为</w:t>
      </w:r>
      <w:r>
        <w:rPr>
          <w:rFonts w:hint="eastAsia" w:ascii="仿宋" w:hAnsi="仿宋" w:eastAsia="仿宋"/>
          <w:sz w:val="32"/>
          <w:szCs w:val="32"/>
          <w:lang w:val="en-US" w:eastAsia="zh-CN"/>
        </w:rPr>
        <w:t>21.39</w:t>
      </w:r>
      <w:r>
        <w:rPr>
          <w:rFonts w:hint="eastAsia" w:ascii="仿宋" w:hAnsi="仿宋" w:eastAsia="仿宋"/>
          <w:sz w:val="32"/>
          <w:szCs w:val="32"/>
        </w:rPr>
        <w:t>万元，完成预算的100%。项目绩效目标完成情况：一是本项目批复财政资金</w:t>
      </w:r>
      <w:r>
        <w:rPr>
          <w:rFonts w:hint="eastAsia" w:ascii="仿宋" w:hAnsi="仿宋" w:eastAsia="仿宋"/>
          <w:sz w:val="32"/>
          <w:szCs w:val="32"/>
          <w:lang w:val="en-US" w:eastAsia="zh-CN"/>
        </w:rPr>
        <w:t>21.39</w:t>
      </w:r>
      <w:r>
        <w:rPr>
          <w:rFonts w:hint="eastAsia" w:ascii="仿宋" w:hAnsi="仿宋" w:eastAsia="仿宋"/>
          <w:sz w:val="32"/>
          <w:szCs w:val="32"/>
        </w:rPr>
        <w:t>万元，项目实施按照预算控制支出；二是制定的各项绩效指标达到预期，按各项绩效指标100%完成。</w:t>
      </w:r>
    </w:p>
    <w:p w14:paraId="066ED68F">
      <w:pPr>
        <w:ind w:firstLine="640" w:firstLineChars="200"/>
        <w:rPr>
          <w:rFonts w:hint="eastAsia" w:ascii="仿宋" w:hAnsi="仿宋" w:eastAsia="仿宋"/>
          <w:sz w:val="32"/>
          <w:szCs w:val="32"/>
        </w:rPr>
      </w:pPr>
      <w:r>
        <w:rPr>
          <w:rFonts w:hint="eastAsia" w:ascii="仿宋" w:hAnsi="仿宋" w:eastAsia="仿宋"/>
          <w:sz w:val="32"/>
          <w:szCs w:val="32"/>
        </w:rPr>
        <w:t>项目完成后生态管护区域生态环境得到明显改善，林地涵养水源、保持水土能力不断增强，自然灾害发生率和强度得到一定程度控制；实行生态效益补偿保障林农的收益权，调动了林农爱林护林的积极性，促进林区的发展；严格的公益林管护，有效的保护了森林资源，提高了森林质量，森林资源的增长，生态功能的提升，生态效益补偿和公益林管护在其中发挥了重要作用。</w:t>
      </w:r>
    </w:p>
    <w:p w14:paraId="12DD1C4B">
      <w:pPr>
        <w:shd w:val="clear" w:color="auto" w:fill="FFFFFF"/>
        <w:spacing w:before="100" w:beforeAutospacing="1" w:after="100" w:afterAutospacing="1"/>
        <w:ind w:firstLine="640" w:firstLineChars="200"/>
        <w:rPr>
          <w:rFonts w:hint="eastAsia" w:ascii="仿宋_GB2312" w:eastAsia="仿宋_GB2312"/>
          <w:sz w:val="32"/>
          <w:szCs w:val="32"/>
        </w:rPr>
      </w:pPr>
    </w:p>
    <w:p w14:paraId="0FC951C7">
      <w:pPr>
        <w:shd w:val="clear" w:color="auto" w:fill="FFFFFF"/>
        <w:spacing w:before="100" w:beforeAutospacing="1" w:after="100" w:afterAutospacing="1"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（三）财政评价项目绩效评价结果（如有则公开）。</w:t>
      </w:r>
    </w:p>
    <w:p w14:paraId="70150CE4">
      <w:pPr>
        <w:shd w:val="clear" w:color="auto" w:fill="FFFFFF"/>
        <w:spacing w:before="100" w:beforeAutospacing="1" w:after="100" w:afterAutospacing="1" w:line="578" w:lineRule="exact"/>
        <w:ind w:firstLine="640" w:firstLineChars="200"/>
        <w:rPr>
          <w:rFonts w:hint="eastAsia" w:ascii="仿宋_GB2312" w:eastAsia="仿宋_GB2312"/>
          <w:sz w:val="32"/>
          <w:szCs w:val="32"/>
        </w:rPr>
      </w:pPr>
      <w:r>
        <w:rPr>
          <w:rFonts w:hint="eastAsia" w:ascii="仿宋_GB2312" w:eastAsia="仿宋_GB2312"/>
          <w:sz w:val="32"/>
          <w:szCs w:val="32"/>
        </w:rPr>
        <w:t>根据财政预算管理要求，我部门（单位）组织对202</w:t>
      </w:r>
      <w:r>
        <w:rPr>
          <w:rFonts w:hint="eastAsia" w:ascii="仿宋_GB2312" w:eastAsia="仿宋_GB2312"/>
          <w:sz w:val="32"/>
          <w:szCs w:val="32"/>
          <w:lang w:val="en-US" w:eastAsia="zh-CN"/>
        </w:rPr>
        <w:t>4</w:t>
      </w:r>
      <w:r>
        <w:rPr>
          <w:rFonts w:hint="eastAsia" w:ascii="仿宋_GB2312" w:eastAsia="仿宋_GB2312"/>
          <w:sz w:val="32"/>
          <w:szCs w:val="32"/>
        </w:rPr>
        <w:t>年度一般公共预算项目支出全面开展绩效自评。自评项目1</w:t>
      </w:r>
      <w:r>
        <w:rPr>
          <w:rStyle w:val="8"/>
          <w:rFonts w:hint="eastAsia" w:ascii="仿宋_GB2312" w:eastAsia="仿宋_GB2312"/>
          <w:sz w:val="32"/>
          <w:szCs w:val="32"/>
        </w:rPr>
        <w:t>个</w:t>
      </w:r>
      <w:r>
        <w:rPr>
          <w:rFonts w:hint="eastAsia" w:ascii="仿宋_GB2312" w:eastAsia="仿宋_GB2312"/>
          <w:sz w:val="32"/>
          <w:szCs w:val="32"/>
        </w:rPr>
        <w:t>，共涉及资金21.</w:t>
      </w:r>
      <w:r>
        <w:rPr>
          <w:rFonts w:hint="eastAsia" w:ascii="仿宋_GB2312" w:eastAsia="仿宋_GB2312"/>
          <w:sz w:val="32"/>
          <w:szCs w:val="32"/>
          <w:lang w:val="en-US" w:eastAsia="zh-CN"/>
        </w:rPr>
        <w:t>39</w:t>
      </w:r>
      <w:r>
        <w:rPr>
          <w:rFonts w:hint="eastAsia" w:ascii="仿宋_GB2312" w:eastAsia="仿宋_GB2312"/>
          <w:sz w:val="32"/>
          <w:szCs w:val="32"/>
        </w:rPr>
        <w:t>万元，自评覆盖率达到50%。</w:t>
      </w:r>
    </w:p>
    <w:p w14:paraId="292796AA">
      <w:pPr>
        <w:shd w:val="clear" w:color="auto" w:fill="FFFFFF"/>
        <w:spacing w:before="100" w:beforeAutospacing="1" w:after="100" w:afterAutospacing="1"/>
        <w:ind w:firstLine="640" w:firstLineChars="200"/>
        <w:rPr>
          <w:rFonts w:hint="eastAsia" w:ascii="仿宋_GB2312" w:eastAsia="仿宋_GB2312"/>
          <w:sz w:val="32"/>
          <w:szCs w:val="32"/>
        </w:rPr>
      </w:pPr>
      <w:r>
        <w:rPr>
          <w:rFonts w:hint="eastAsia" w:ascii="仿宋_GB2312" w:eastAsia="仿宋_GB2312"/>
          <w:sz w:val="32"/>
          <w:szCs w:val="32"/>
        </w:rPr>
        <w:t>共组织对“重点生态公益林”项目开展了部门评价，涉及资金21.</w:t>
      </w:r>
      <w:r>
        <w:rPr>
          <w:rFonts w:hint="eastAsia" w:ascii="仿宋_GB2312" w:eastAsia="仿宋_GB2312"/>
          <w:sz w:val="32"/>
          <w:szCs w:val="32"/>
          <w:lang w:val="en-US" w:eastAsia="zh-CN"/>
        </w:rPr>
        <w:t>39</w:t>
      </w:r>
      <w:r>
        <w:rPr>
          <w:rFonts w:hint="eastAsia" w:ascii="仿宋_GB2312" w:eastAsia="仿宋_GB2312"/>
          <w:sz w:val="32"/>
          <w:szCs w:val="32"/>
        </w:rPr>
        <w:t>万元。从评价情况来看，</w:t>
      </w:r>
      <w:r>
        <w:rPr>
          <w:rFonts w:hint="eastAsia" w:ascii="仿宋" w:hAnsi="仿宋" w:eastAsia="仿宋"/>
          <w:sz w:val="32"/>
          <w:szCs w:val="32"/>
        </w:rPr>
        <w:t>一是项目支出控制在预算范围内，发挥了资金使用效益；二是项目按时按质按量完成，项目绩效目标达标率为100%</w:t>
      </w:r>
      <w:r>
        <w:rPr>
          <w:rFonts w:hint="eastAsia" w:ascii="仿宋_GB2312" w:eastAsia="仿宋_GB2312"/>
          <w:sz w:val="32"/>
          <w:szCs w:val="32"/>
        </w:rPr>
        <w:t>。</w:t>
      </w:r>
    </w:p>
    <w:p w14:paraId="3F18C9C0">
      <w:pPr>
        <w:shd w:val="clear" w:color="auto" w:fill="FFFFFF"/>
        <w:spacing w:before="100" w:beforeAutospacing="1" w:after="100" w:afterAutospacing="1"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（四）部门评价项目绩效评价结果（如有则公开）。</w:t>
      </w:r>
    </w:p>
    <w:p w14:paraId="29CE5826">
      <w:pPr>
        <w:shd w:val="clear" w:color="auto" w:fill="FFFFFF"/>
        <w:spacing w:before="100" w:beforeAutospacing="1" w:after="100" w:afterAutospacing="1" w:line="578" w:lineRule="exact"/>
        <w:ind w:firstLine="640" w:firstLineChars="200"/>
        <w:rPr>
          <w:rFonts w:hint="eastAsia" w:ascii="仿宋_GB2312" w:eastAsia="仿宋_GB2312"/>
          <w:sz w:val="32"/>
          <w:szCs w:val="32"/>
        </w:rPr>
      </w:pPr>
      <w:r>
        <w:rPr>
          <w:rFonts w:hint="eastAsia" w:ascii="仿宋_GB2312" w:eastAsia="仿宋_GB2312"/>
          <w:sz w:val="32"/>
          <w:szCs w:val="32"/>
        </w:rPr>
        <w:t>根据财政预算管理要求，我部门（单位）组织对202</w:t>
      </w:r>
      <w:r>
        <w:rPr>
          <w:rFonts w:hint="eastAsia" w:ascii="仿宋_GB2312" w:eastAsia="仿宋_GB2312"/>
          <w:sz w:val="32"/>
          <w:szCs w:val="32"/>
          <w:lang w:val="en-US" w:eastAsia="zh-CN"/>
        </w:rPr>
        <w:t>4</w:t>
      </w:r>
      <w:r>
        <w:rPr>
          <w:rFonts w:hint="eastAsia" w:ascii="仿宋_GB2312" w:eastAsia="仿宋_GB2312"/>
          <w:sz w:val="32"/>
          <w:szCs w:val="32"/>
        </w:rPr>
        <w:t>年度一般公共预算项目支出全面开展绩效自评。自评项目1</w:t>
      </w:r>
      <w:r>
        <w:rPr>
          <w:rStyle w:val="8"/>
          <w:rFonts w:hint="eastAsia" w:ascii="仿宋_GB2312" w:eastAsia="仿宋_GB2312"/>
          <w:sz w:val="32"/>
          <w:szCs w:val="32"/>
        </w:rPr>
        <w:t>个</w:t>
      </w:r>
      <w:r>
        <w:rPr>
          <w:rFonts w:hint="eastAsia" w:ascii="仿宋_GB2312" w:eastAsia="仿宋_GB2312"/>
          <w:sz w:val="32"/>
          <w:szCs w:val="32"/>
        </w:rPr>
        <w:t>，共涉及资金21.</w:t>
      </w:r>
      <w:r>
        <w:rPr>
          <w:rFonts w:hint="eastAsia" w:ascii="仿宋_GB2312" w:eastAsia="仿宋_GB2312"/>
          <w:sz w:val="32"/>
          <w:szCs w:val="32"/>
          <w:lang w:val="en-US" w:eastAsia="zh-CN"/>
        </w:rPr>
        <w:t>39</w:t>
      </w:r>
      <w:r>
        <w:rPr>
          <w:rFonts w:hint="eastAsia" w:ascii="仿宋_GB2312" w:eastAsia="仿宋_GB2312"/>
          <w:sz w:val="32"/>
          <w:szCs w:val="32"/>
        </w:rPr>
        <w:t>万元，自评覆盖率达到50%。</w:t>
      </w:r>
    </w:p>
    <w:p w14:paraId="4EFBDA31">
      <w:pPr>
        <w:shd w:val="clear" w:color="auto" w:fill="FFFFFF"/>
        <w:spacing w:before="100" w:beforeAutospacing="1" w:after="100" w:afterAutospacing="1"/>
        <w:ind w:firstLine="640" w:firstLineChars="200"/>
        <w:rPr>
          <w:rFonts w:hint="eastAsia" w:ascii="仿宋_GB2312" w:eastAsia="仿宋_GB2312"/>
          <w:sz w:val="32"/>
          <w:szCs w:val="32"/>
        </w:rPr>
      </w:pPr>
      <w:r>
        <w:rPr>
          <w:rFonts w:hint="eastAsia" w:ascii="仿宋_GB2312" w:eastAsia="仿宋_GB2312"/>
          <w:sz w:val="32"/>
          <w:szCs w:val="32"/>
        </w:rPr>
        <w:t>共组织对“重点生态公益林”项目开展了部门评价，涉及资金21.</w:t>
      </w:r>
      <w:r>
        <w:rPr>
          <w:rFonts w:hint="eastAsia" w:ascii="仿宋_GB2312" w:eastAsia="仿宋_GB2312"/>
          <w:sz w:val="32"/>
          <w:szCs w:val="32"/>
          <w:lang w:val="en-US" w:eastAsia="zh-CN"/>
        </w:rPr>
        <w:t>39</w:t>
      </w:r>
      <w:r>
        <w:rPr>
          <w:rFonts w:hint="eastAsia" w:ascii="仿宋_GB2312" w:eastAsia="仿宋_GB2312"/>
          <w:sz w:val="32"/>
          <w:szCs w:val="32"/>
        </w:rPr>
        <w:t>万元。从评价情况来看，</w:t>
      </w:r>
      <w:r>
        <w:rPr>
          <w:rFonts w:hint="eastAsia" w:ascii="仿宋" w:hAnsi="仿宋" w:eastAsia="仿宋"/>
          <w:sz w:val="32"/>
          <w:szCs w:val="32"/>
        </w:rPr>
        <w:t>一是项目支出控制在预算范围内，发挥了资金使用效益；二是项目按时按质按量完成，项目绩效目标达标率为50%</w:t>
      </w:r>
      <w:r>
        <w:rPr>
          <w:rFonts w:hint="eastAsia" w:ascii="仿宋_GB2312" w:eastAsia="仿宋_GB2312"/>
          <w:sz w:val="32"/>
          <w:szCs w:val="32"/>
        </w:rPr>
        <w:t>。</w:t>
      </w:r>
    </w:p>
    <w:p w14:paraId="787D1ED2">
      <w:pPr>
        <w:shd w:val="clear" w:color="auto" w:fill="FFFFFF"/>
        <w:spacing w:before="100" w:beforeAutospacing="1" w:after="100" w:afterAutospacing="1"/>
        <w:ind w:firstLine="640" w:firstLineChars="200"/>
        <w:rPr>
          <w:rFonts w:hint="eastAsia" w:ascii="黑体" w:hAnsi="黑体" w:eastAsia="黑体" w:cs="黑体"/>
          <w:bCs/>
          <w:sz w:val="32"/>
          <w:szCs w:val="32"/>
        </w:rPr>
      </w:pPr>
      <w:r>
        <w:rPr>
          <w:rFonts w:hint="eastAsia" w:ascii="黑体" w:hAnsi="黑体" w:eastAsia="黑体" w:cs="黑体"/>
          <w:bCs/>
          <w:sz w:val="32"/>
          <w:szCs w:val="32"/>
        </w:rPr>
        <w:t>十三、其他重要事项情况说明。</w:t>
      </w:r>
    </w:p>
    <w:p w14:paraId="4E923CB2">
      <w:pPr>
        <w:shd w:val="clear" w:color="auto" w:fill="FFFFFF"/>
        <w:spacing w:before="100" w:beforeAutospacing="1" w:after="100" w:afterAutospacing="1"/>
        <w:ind w:firstLine="643" w:firstLineChars="200"/>
        <w:rPr>
          <w:rFonts w:hint="eastAsia" w:ascii="楷体" w:hAnsi="楷体" w:eastAsia="楷体" w:cs="楷体"/>
          <w:b/>
          <w:sz w:val="32"/>
          <w:szCs w:val="32"/>
        </w:rPr>
      </w:pPr>
      <w:bookmarkStart w:id="98" w:name="_Toc15262_WPSOffice_Level2"/>
      <w:bookmarkStart w:id="99" w:name="_Toc15565_WPSOffice_Level2"/>
      <w:bookmarkStart w:id="100" w:name="_Toc5978_WPSOffice_Level2"/>
      <w:bookmarkStart w:id="101" w:name="_Toc18325_WPSOffice_Level2"/>
      <w:bookmarkStart w:id="102" w:name="_Toc23598_WPSOffice_Level2"/>
      <w:bookmarkStart w:id="103" w:name="_Toc32639_WPSOffice_Level2"/>
      <w:r>
        <w:rPr>
          <w:rFonts w:hint="eastAsia" w:ascii="楷体" w:hAnsi="楷体" w:eastAsia="楷体" w:cs="楷体"/>
          <w:b/>
          <w:sz w:val="32"/>
          <w:szCs w:val="32"/>
        </w:rPr>
        <w:t>（一）机关运行经费支出情况。</w:t>
      </w:r>
      <w:bookmarkEnd w:id="98"/>
      <w:bookmarkEnd w:id="99"/>
      <w:bookmarkEnd w:id="100"/>
      <w:bookmarkEnd w:id="101"/>
      <w:bookmarkEnd w:id="102"/>
      <w:bookmarkEnd w:id="103"/>
    </w:p>
    <w:p w14:paraId="109383B2">
      <w:pPr>
        <w:shd w:val="clear" w:color="auto" w:fill="FFFFFF"/>
        <w:spacing w:before="100" w:beforeAutospacing="1" w:after="100" w:afterAutospacing="1"/>
        <w:ind w:firstLine="640" w:firstLineChars="200"/>
        <w:rPr>
          <w:rFonts w:hint="eastAsia" w:ascii="仿宋_GB2312" w:hAnsi="ˎ̥" w:eastAsia="仿宋_GB2312"/>
          <w:sz w:val="32"/>
          <w:szCs w:val="32"/>
        </w:rPr>
      </w:pPr>
      <w:bookmarkStart w:id="104" w:name="_Hlk177459904"/>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年度海南青皮林省级自然保护区</w:t>
      </w:r>
      <w:bookmarkEnd w:id="104"/>
      <w:r>
        <w:rPr>
          <w:rFonts w:hint="eastAsia" w:ascii="仿宋_GB2312" w:hAnsi="ˎ̥" w:eastAsia="仿宋_GB2312"/>
          <w:sz w:val="32"/>
          <w:szCs w:val="32"/>
        </w:rPr>
        <w:t>机关运行经费0元，本年没有发生与该表相关的收支决算数据。</w:t>
      </w:r>
    </w:p>
    <w:p w14:paraId="1BAF65BA">
      <w:pPr>
        <w:shd w:val="clear" w:color="auto" w:fill="FFFFFF"/>
        <w:spacing w:before="100" w:beforeAutospacing="1" w:after="100" w:afterAutospacing="1"/>
        <w:ind w:firstLine="643" w:firstLineChars="200"/>
        <w:rPr>
          <w:rFonts w:hint="eastAsia" w:ascii="楷体" w:hAnsi="楷体" w:eastAsia="楷体" w:cs="楷体"/>
          <w:b/>
          <w:sz w:val="32"/>
          <w:szCs w:val="32"/>
        </w:rPr>
      </w:pPr>
      <w:bookmarkStart w:id="105" w:name="_Toc13084_WPSOffice_Level2"/>
      <w:bookmarkStart w:id="106" w:name="_Toc25333_WPSOffice_Level2"/>
      <w:bookmarkStart w:id="107" w:name="_Toc30383_WPSOffice_Level2"/>
      <w:bookmarkStart w:id="108" w:name="_Toc3131_WPSOffice_Level2"/>
      <w:bookmarkStart w:id="109" w:name="_Toc23966_WPSOffice_Level2"/>
      <w:bookmarkStart w:id="110" w:name="_Toc32689_WPSOffice_Level2"/>
      <w:r>
        <w:rPr>
          <w:rFonts w:hint="eastAsia" w:ascii="楷体" w:hAnsi="楷体" w:eastAsia="楷体" w:cs="楷体"/>
          <w:b/>
          <w:sz w:val="32"/>
          <w:szCs w:val="32"/>
        </w:rPr>
        <w:t>（二）政府采购支出情况。</w:t>
      </w:r>
      <w:bookmarkEnd w:id="105"/>
      <w:bookmarkEnd w:id="106"/>
      <w:bookmarkEnd w:id="107"/>
      <w:bookmarkEnd w:id="108"/>
      <w:bookmarkEnd w:id="109"/>
      <w:bookmarkEnd w:id="110"/>
    </w:p>
    <w:p w14:paraId="30828A91">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年度海南青皮林省级自然保护区政府采购支出总额0元，本年没有发生与该表相关的收支决算数据。</w:t>
      </w:r>
    </w:p>
    <w:p w14:paraId="1BBAEE6A">
      <w:pPr>
        <w:shd w:val="clear" w:color="auto" w:fill="FFFFFF"/>
        <w:spacing w:before="100" w:beforeAutospacing="1" w:after="100" w:afterAutospacing="1"/>
        <w:ind w:firstLine="643" w:firstLineChars="200"/>
        <w:rPr>
          <w:rFonts w:hint="eastAsia" w:ascii="楷体" w:hAnsi="楷体" w:eastAsia="楷体" w:cs="楷体"/>
          <w:b/>
          <w:sz w:val="32"/>
          <w:szCs w:val="32"/>
        </w:rPr>
      </w:pPr>
      <w:bookmarkStart w:id="111" w:name="_Toc6016_WPSOffice_Level2"/>
      <w:bookmarkStart w:id="112" w:name="_Toc15129_WPSOffice_Level2"/>
      <w:bookmarkStart w:id="113" w:name="_Toc527_WPSOffice_Level2"/>
      <w:bookmarkStart w:id="114" w:name="_Toc10902_WPSOffice_Level2"/>
      <w:bookmarkStart w:id="115" w:name="_Toc19989_WPSOffice_Level2"/>
      <w:bookmarkStart w:id="116" w:name="_Toc29584_WPSOffice_Level2"/>
      <w:r>
        <w:rPr>
          <w:rFonts w:hint="eastAsia" w:ascii="楷体" w:hAnsi="楷体" w:eastAsia="楷体" w:cs="楷体"/>
          <w:b/>
          <w:sz w:val="32"/>
          <w:szCs w:val="32"/>
        </w:rPr>
        <w:t>（三）国有资产占用情况。</w:t>
      </w:r>
      <w:bookmarkEnd w:id="111"/>
      <w:bookmarkEnd w:id="112"/>
      <w:bookmarkEnd w:id="113"/>
      <w:bookmarkEnd w:id="114"/>
      <w:bookmarkEnd w:id="115"/>
      <w:bookmarkEnd w:id="116"/>
    </w:p>
    <w:p w14:paraId="7A9F8063">
      <w:pPr>
        <w:shd w:val="clear" w:color="auto" w:fill="FFFFFF"/>
        <w:spacing w:before="100" w:beforeAutospacing="1" w:after="100" w:afterAutospacing="1"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截至202</w:t>
      </w:r>
      <w:r>
        <w:rPr>
          <w:rFonts w:hint="eastAsia" w:ascii="仿宋_GB2312" w:hAnsi="ˎ̥" w:eastAsia="仿宋_GB2312"/>
          <w:sz w:val="32"/>
          <w:szCs w:val="32"/>
          <w:lang w:val="en-US" w:eastAsia="zh-CN"/>
        </w:rPr>
        <w:t>4</w:t>
      </w:r>
      <w:r>
        <w:rPr>
          <w:rFonts w:hint="eastAsia" w:ascii="仿宋_GB2312" w:hAnsi="ˎ̥" w:eastAsia="仿宋_GB2312"/>
          <w:sz w:val="32"/>
          <w:szCs w:val="32"/>
        </w:rPr>
        <w:t>年12月31日，本部门占用房屋面积269.07平方米，其中：办公用房0平方米，业务用房269.07平方米，其他（不含构筑物）0平方米。</w:t>
      </w:r>
    </w:p>
    <w:p w14:paraId="0B6E0D71">
      <w:pPr>
        <w:shd w:val="clear" w:color="auto" w:fill="FFFFFF"/>
        <w:spacing w:before="100" w:beforeAutospacing="1" w:after="100" w:afterAutospacing="1"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本部门共有车辆1辆，其中：从车辆种类说明：其他车型1辆，其他车型主要是皮卡车；从车辆使用情况说明：其他用车1辆。</w:t>
      </w:r>
    </w:p>
    <w:p w14:paraId="53C33368">
      <w:pPr>
        <w:shd w:val="clear" w:color="auto" w:fill="FFFFFF"/>
        <w:spacing w:before="100" w:beforeAutospacing="1" w:after="100" w:afterAutospacing="1"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单位价值50万元（含）以上通用设备0台（套），单价100万元（含）以上专用设备0台（套），本年没有发生与该表相关的收支决算数据。</w:t>
      </w:r>
    </w:p>
    <w:p w14:paraId="035A31A2">
      <w:pPr>
        <w:shd w:val="clear" w:color="auto" w:fill="FFFFFF"/>
        <w:spacing w:before="100" w:beforeAutospacing="1" w:after="100" w:afterAutospacing="1"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年末在建工程0元，本年没有发生与该表相关的收支决算数据。</w:t>
      </w:r>
    </w:p>
    <w:p w14:paraId="3AF55580">
      <w:pPr>
        <w:shd w:val="clear" w:color="auto" w:fill="FFFFFF"/>
        <w:spacing w:before="100" w:beforeAutospacing="1" w:after="100" w:afterAutospacing="1"/>
        <w:jc w:val="center"/>
        <w:rPr>
          <w:rFonts w:hint="eastAsia" w:ascii="黑体" w:hAnsi="ˎ̥" w:eastAsia="黑体"/>
          <w:sz w:val="32"/>
          <w:szCs w:val="32"/>
        </w:rPr>
      </w:pPr>
      <w:bookmarkStart w:id="117" w:name="_Toc17580_WPSOffice_Level1"/>
      <w:bookmarkStart w:id="118" w:name="_Toc8874_WPSOffice_Level1"/>
      <w:bookmarkStart w:id="119" w:name="_Toc15425_WPSOffice_Level1"/>
      <w:bookmarkStart w:id="120" w:name="_Toc8808_WPSOffice_Level1"/>
      <w:bookmarkStart w:id="121" w:name="_Toc11039_WPSOffice_Level1"/>
      <w:bookmarkStart w:id="122" w:name="_Toc4398_WPSOffice_Level1"/>
      <w:r>
        <w:rPr>
          <w:rFonts w:hint="eastAsia" w:ascii="黑体" w:hAnsi="ˎ̥" w:eastAsia="黑体"/>
          <w:sz w:val="32"/>
          <w:szCs w:val="32"/>
        </w:rPr>
        <w:t>第四部分  名词解释</w:t>
      </w:r>
      <w:bookmarkEnd w:id="117"/>
      <w:bookmarkEnd w:id="118"/>
      <w:bookmarkEnd w:id="119"/>
      <w:bookmarkEnd w:id="120"/>
      <w:bookmarkEnd w:id="121"/>
      <w:bookmarkEnd w:id="122"/>
    </w:p>
    <w:p w14:paraId="3D137668">
      <w:pPr>
        <w:shd w:val="clear" w:color="auto" w:fill="FFFFFF"/>
        <w:spacing w:before="100" w:beforeAutospacing="1" w:after="100" w:afterAutospacing="1"/>
        <w:jc w:val="center"/>
        <w:rPr>
          <w:rFonts w:hint="eastAsia" w:ascii="黑体" w:hAnsi="ˎ̥" w:eastAsia="黑体"/>
          <w:sz w:val="32"/>
          <w:szCs w:val="32"/>
        </w:rPr>
      </w:pPr>
    </w:p>
    <w:p w14:paraId="39B3E985">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一、财政拨款收入：指本级财政当年拨付的资金。</w:t>
      </w:r>
    </w:p>
    <w:p w14:paraId="0DF5F83E">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二、事业收入：指事业单位开展专业业务活动及辅助活动取得的收入。</w:t>
      </w:r>
    </w:p>
    <w:p w14:paraId="0FE27DF1">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三、经营收入：指事业单位在专业业务活动及其辅助活动之外开展非独立核算经营活动取得的收入。</w:t>
      </w:r>
    </w:p>
    <w:p w14:paraId="179A2916">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四、其他收入：指除上述“财政拨款收入”“事业收入”“经营收入”等以外的收入。</w:t>
      </w:r>
    </w:p>
    <w:p w14:paraId="3021C132">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五、使用非财政拨款结余：指事业单位按照预算管理要求使用非财政拨款结余弥补收支差额的金额。</w:t>
      </w:r>
    </w:p>
    <w:p w14:paraId="6389DCB3">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六、年初结转和结余：指以前年度尚未完成、结转到本年按有关规定继续使用的资金。</w:t>
      </w:r>
    </w:p>
    <w:p w14:paraId="775723D0">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七、结余分配：指事业单位按规定提取的职工福利基金、事业基金和缴纳的所得税，以及建设单位按规定应交回的基本建设竣工项目结余资金。</w:t>
      </w:r>
    </w:p>
    <w:p w14:paraId="23D150DB">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八、年末结转和结余：指本年度或以前年度预算安排、因客观条件发生变化无法按原计划实施，需要延迟到以后年度按有关规定继续使用的资金。</w:t>
      </w:r>
    </w:p>
    <w:p w14:paraId="06F8EB96">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九、基本支出：指为保障机构正常运转、完成日常工作任务而发生的人员支出和公用支出。</w:t>
      </w:r>
    </w:p>
    <w:p w14:paraId="0A7CD17E">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十、项目支出：指在基本支出之外为完成特定行政任务和事业发展目标所发生的支出。</w:t>
      </w:r>
    </w:p>
    <w:p w14:paraId="51BCB52B">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十一、经营支出：指事业单位在专业业务活动及其辅助活动之外开展非独立核算经营活动发生的支出。</w:t>
      </w:r>
    </w:p>
    <w:p w14:paraId="1078BF73">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十二、“三公”经费：纳入本级财政预决算管理的“三公”经费，是指本级部门用一般公共预算</w:t>
      </w:r>
      <w:r>
        <w:rPr>
          <w:rStyle w:val="8"/>
          <w:rFonts w:hint="eastAsia" w:ascii="仿宋_GB2312" w:hAnsi="ˎ̥" w:eastAsia="仿宋_GB2312"/>
          <w:sz w:val="32"/>
          <w:szCs w:val="32"/>
        </w:rPr>
        <w:t>财政财政</w:t>
      </w:r>
      <w:r>
        <w:rPr>
          <w:rFonts w:hint="eastAsia" w:ascii="仿宋_GB2312" w:hAnsi="ˎ̥" w:eastAsia="仿宋_GB2312"/>
          <w:sz w:val="32"/>
          <w:szCs w:val="32"/>
        </w:rPr>
        <w:t>拨款安排的因公出国（境）费、公务用车购置及运行费和公务接待费。其中，因公出国（境）</w:t>
      </w:r>
      <w:r>
        <w:rPr>
          <w:rStyle w:val="8"/>
          <w:rFonts w:hint="eastAsia" w:ascii="仿宋_GB2312" w:hAnsi="ˎ̥" w:eastAsia="仿宋_GB2312"/>
          <w:sz w:val="32"/>
          <w:szCs w:val="32"/>
        </w:rPr>
        <w:t>费反映</w:t>
      </w:r>
      <w:r>
        <w:rPr>
          <w:rFonts w:hint="eastAsia" w:ascii="仿宋_GB2312" w:hAnsi="ˎ̥" w:eastAsia="仿宋_GB2312"/>
          <w:sz w:val="32"/>
          <w:szCs w:val="32"/>
        </w:rPr>
        <w:t>单位公务出国（境）的国际旅费、国外城市间交通费、住宿费、伙食费、培训费、公杂费等支出；公务用车购置及运行</w:t>
      </w:r>
      <w:r>
        <w:rPr>
          <w:rStyle w:val="8"/>
          <w:rFonts w:hint="eastAsia" w:ascii="仿宋_GB2312" w:hAnsi="ˎ̥" w:eastAsia="仿宋_GB2312"/>
          <w:sz w:val="32"/>
          <w:szCs w:val="32"/>
        </w:rPr>
        <w:t>费反映</w:t>
      </w:r>
      <w:r>
        <w:rPr>
          <w:rFonts w:hint="eastAsia" w:ascii="仿宋_GB2312" w:hAnsi="ˎ̥" w:eastAsia="仿宋_GB2312"/>
          <w:sz w:val="32"/>
          <w:szCs w:val="32"/>
        </w:rPr>
        <w:t>单位公务用车车辆购置支出（</w:t>
      </w:r>
      <w:r>
        <w:rPr>
          <w:rStyle w:val="8"/>
          <w:rFonts w:hint="eastAsia" w:ascii="仿宋_GB2312" w:hAnsi="ˎ̥" w:eastAsia="仿宋_GB2312"/>
          <w:sz w:val="32"/>
          <w:szCs w:val="32"/>
        </w:rPr>
        <w:t>含车辆</w:t>
      </w:r>
      <w:r>
        <w:rPr>
          <w:rFonts w:hint="eastAsia" w:ascii="仿宋_GB2312" w:hAnsi="ˎ̥" w:eastAsia="仿宋_GB2312"/>
          <w:sz w:val="32"/>
          <w:szCs w:val="32"/>
        </w:rPr>
        <w:t>购置税）及租用费、燃料费、维修费、过路过桥费、保险费、安全奖励费用等支出；公务接待</w:t>
      </w:r>
      <w:r>
        <w:rPr>
          <w:rStyle w:val="8"/>
          <w:rFonts w:hint="eastAsia" w:ascii="仿宋_GB2312" w:hAnsi="ˎ̥" w:eastAsia="仿宋_GB2312"/>
          <w:sz w:val="32"/>
          <w:szCs w:val="32"/>
        </w:rPr>
        <w:t>费反映</w:t>
      </w:r>
      <w:r>
        <w:rPr>
          <w:rFonts w:hint="eastAsia" w:ascii="仿宋_GB2312" w:hAnsi="ˎ̥" w:eastAsia="仿宋_GB2312"/>
          <w:sz w:val="32"/>
          <w:szCs w:val="32"/>
        </w:rPr>
        <w:t>单位按规定开支的各类公务接待（含外宾接待）支出。</w:t>
      </w:r>
    </w:p>
    <w:p w14:paraId="520E4A5A">
      <w:pPr>
        <w:shd w:val="clear" w:color="auto" w:fill="FFFFFF"/>
        <w:spacing w:before="100" w:beforeAutospacing="1" w:after="100" w:afterAutospacing="1"/>
        <w:ind w:firstLine="640" w:firstLineChars="200"/>
        <w:rPr>
          <w:rFonts w:hint="eastAsia" w:ascii="仿宋_GB2312" w:hAnsi="ˎ̥" w:eastAsia="仿宋_GB2312"/>
          <w:sz w:val="32"/>
          <w:szCs w:val="32"/>
        </w:rPr>
      </w:pPr>
      <w:r>
        <w:rPr>
          <w:rFonts w:hint="eastAsia" w:ascii="仿宋_GB2312" w:hAnsi="ˎ̥"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F6323AB">
      <w:pPr>
        <w:shd w:val="clear" w:color="auto" w:fill="FFFFFF"/>
        <w:spacing w:before="100" w:beforeAutospacing="1" w:after="100" w:afterAutospacing="1"/>
        <w:ind w:firstLine="645"/>
        <w:rPr>
          <w:rFonts w:hint="eastAsia" w:ascii="仿宋_GB2312" w:hAnsi="ˎ̥" w:eastAsia="仿宋_GB2312"/>
          <w:sz w:val="32"/>
          <w:szCs w:val="32"/>
        </w:rPr>
      </w:pPr>
      <w:r>
        <w:rPr>
          <w:rFonts w:hint="eastAsia" w:ascii="仿宋_GB2312" w:hAnsi="ˎ̥" w:eastAsia="仿宋_GB2312"/>
          <w:sz w:val="32"/>
          <w:szCs w:val="32"/>
        </w:rPr>
        <w:t>十四、（支出功能分类的名词解释，各部门（单位）根据实际支出情况填列，可参阅财政部印发的《2019年政府收支分类科目》）</w:t>
      </w: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25C02"/>
    <w:multiLevelType w:val="multilevel"/>
    <w:tmpl w:val="34A25C0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NjZjZWQyNDJlOTFjYmY4OTkzOTkxNmQwZjJjZTYifQ=="/>
  </w:docVars>
  <w:rsids>
    <w:rsidRoot w:val="009C4E6E"/>
    <w:rsid w:val="00044DF3"/>
    <w:rsid w:val="0004604C"/>
    <w:rsid w:val="00057445"/>
    <w:rsid w:val="00103865"/>
    <w:rsid w:val="0011495D"/>
    <w:rsid w:val="001248BC"/>
    <w:rsid w:val="00151FC1"/>
    <w:rsid w:val="00177BEA"/>
    <w:rsid w:val="001F5B02"/>
    <w:rsid w:val="002116F2"/>
    <w:rsid w:val="0022084E"/>
    <w:rsid w:val="00297618"/>
    <w:rsid w:val="002A6A0B"/>
    <w:rsid w:val="002D1513"/>
    <w:rsid w:val="00307D18"/>
    <w:rsid w:val="00333100"/>
    <w:rsid w:val="00364185"/>
    <w:rsid w:val="00365EDE"/>
    <w:rsid w:val="00372624"/>
    <w:rsid w:val="00373FAF"/>
    <w:rsid w:val="00396ACB"/>
    <w:rsid w:val="003B1367"/>
    <w:rsid w:val="003F065C"/>
    <w:rsid w:val="003F192C"/>
    <w:rsid w:val="00444D38"/>
    <w:rsid w:val="00453C87"/>
    <w:rsid w:val="004707FC"/>
    <w:rsid w:val="004C12C0"/>
    <w:rsid w:val="004F0144"/>
    <w:rsid w:val="004F7967"/>
    <w:rsid w:val="00521005"/>
    <w:rsid w:val="005229DE"/>
    <w:rsid w:val="0052364E"/>
    <w:rsid w:val="00570E31"/>
    <w:rsid w:val="00615253"/>
    <w:rsid w:val="006A4E2A"/>
    <w:rsid w:val="00711012"/>
    <w:rsid w:val="00711411"/>
    <w:rsid w:val="0073686F"/>
    <w:rsid w:val="007665F9"/>
    <w:rsid w:val="007819CE"/>
    <w:rsid w:val="007A3C1B"/>
    <w:rsid w:val="007C4383"/>
    <w:rsid w:val="007D1F9C"/>
    <w:rsid w:val="007D44F9"/>
    <w:rsid w:val="007E7198"/>
    <w:rsid w:val="007F7ABB"/>
    <w:rsid w:val="00803306"/>
    <w:rsid w:val="00807139"/>
    <w:rsid w:val="00814283"/>
    <w:rsid w:val="0087040E"/>
    <w:rsid w:val="00881941"/>
    <w:rsid w:val="0089702C"/>
    <w:rsid w:val="008A512B"/>
    <w:rsid w:val="008B7DC7"/>
    <w:rsid w:val="008D6EC3"/>
    <w:rsid w:val="0090180A"/>
    <w:rsid w:val="00917820"/>
    <w:rsid w:val="00947D7E"/>
    <w:rsid w:val="009563B5"/>
    <w:rsid w:val="0095744F"/>
    <w:rsid w:val="00986ADC"/>
    <w:rsid w:val="0099060C"/>
    <w:rsid w:val="00990FA4"/>
    <w:rsid w:val="009A5EE1"/>
    <w:rsid w:val="009B7EFC"/>
    <w:rsid w:val="009C4E6E"/>
    <w:rsid w:val="009D5F7E"/>
    <w:rsid w:val="009F5F99"/>
    <w:rsid w:val="00A03D89"/>
    <w:rsid w:val="00A32D41"/>
    <w:rsid w:val="00A3479D"/>
    <w:rsid w:val="00AE5E01"/>
    <w:rsid w:val="00B1305E"/>
    <w:rsid w:val="00B51FDF"/>
    <w:rsid w:val="00B82406"/>
    <w:rsid w:val="00BC7A7D"/>
    <w:rsid w:val="00C1513D"/>
    <w:rsid w:val="00C62932"/>
    <w:rsid w:val="00C81D95"/>
    <w:rsid w:val="00CB08C5"/>
    <w:rsid w:val="00D36CCB"/>
    <w:rsid w:val="00D84E4E"/>
    <w:rsid w:val="00D97BB0"/>
    <w:rsid w:val="00DA417D"/>
    <w:rsid w:val="00DB03B0"/>
    <w:rsid w:val="00DC3A2D"/>
    <w:rsid w:val="00DE3DB1"/>
    <w:rsid w:val="00DF4DBB"/>
    <w:rsid w:val="00E01DE7"/>
    <w:rsid w:val="00E96B65"/>
    <w:rsid w:val="00EB1DA9"/>
    <w:rsid w:val="00F209E8"/>
    <w:rsid w:val="00F7396C"/>
    <w:rsid w:val="00F76477"/>
    <w:rsid w:val="00F77147"/>
    <w:rsid w:val="00F93CF2"/>
    <w:rsid w:val="00FC02C9"/>
    <w:rsid w:val="00FE039A"/>
    <w:rsid w:val="00FF21EC"/>
    <w:rsid w:val="00FF47FD"/>
    <w:rsid w:val="128C58DC"/>
    <w:rsid w:val="17BB7627"/>
    <w:rsid w:val="28836A4D"/>
    <w:rsid w:val="350A00ED"/>
    <w:rsid w:val="373D2817"/>
    <w:rsid w:val="395904D8"/>
    <w:rsid w:val="3DB6325A"/>
    <w:rsid w:val="45436F9D"/>
    <w:rsid w:val="45BE1BF1"/>
    <w:rsid w:val="45F742B5"/>
    <w:rsid w:val="46A24FAF"/>
    <w:rsid w:val="47704A77"/>
    <w:rsid w:val="490E43FC"/>
    <w:rsid w:val="524B4903"/>
    <w:rsid w:val="53D83AAD"/>
    <w:rsid w:val="54DF4AB9"/>
    <w:rsid w:val="57DF17EC"/>
    <w:rsid w:val="59011BD6"/>
    <w:rsid w:val="627401F8"/>
    <w:rsid w:val="63F33FF8"/>
    <w:rsid w:val="69A91072"/>
    <w:rsid w:val="715D0E27"/>
    <w:rsid w:val="716301F2"/>
    <w:rsid w:val="770A2BDB"/>
    <w:rsid w:val="7CA3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100" w:beforeAutospacing="1" w:after="100" w:afterAutospacing="1"/>
    </w:pPr>
  </w:style>
  <w:style w:type="paragraph" w:customStyle="1" w:styleId="7">
    <w:name w:val="wpsoffice1"/>
    <w:basedOn w:val="1"/>
    <w:qFormat/>
    <w:uiPriority w:val="0"/>
    <w:pPr>
      <w:spacing w:before="100" w:beforeAutospacing="1" w:after="100" w:afterAutospacing="1"/>
    </w:pPr>
  </w:style>
  <w:style w:type="character" w:customStyle="1" w:styleId="8">
    <w:name w:val="grame"/>
    <w:basedOn w:val="6"/>
    <w:qFormat/>
    <w:uiPriority w:val="0"/>
  </w:style>
  <w:style w:type="paragraph" w:customStyle="1" w:styleId="9">
    <w:name w:val="wpsoffice2"/>
    <w:basedOn w:val="1"/>
    <w:uiPriority w:val="0"/>
    <w:pPr>
      <w:spacing w:before="100" w:beforeAutospacing="1" w:after="100" w:afterAutospacing="1"/>
    </w:pPr>
  </w:style>
  <w:style w:type="character" w:customStyle="1" w:styleId="10">
    <w:name w:val="页眉 字符"/>
    <w:basedOn w:val="6"/>
    <w:link w:val="3"/>
    <w:semiHidden/>
    <w:uiPriority w:val="99"/>
    <w:rPr>
      <w:rFonts w:ascii="宋体" w:hAnsi="宋体" w:eastAsia="宋体" w:cs="宋体"/>
      <w:sz w:val="18"/>
      <w:szCs w:val="18"/>
    </w:rPr>
  </w:style>
  <w:style w:type="character" w:customStyle="1" w:styleId="11">
    <w:name w:val="页脚 字符"/>
    <w:basedOn w:val="6"/>
    <w:link w:val="2"/>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5536</Words>
  <Characters>5930</Characters>
  <Lines>46</Lines>
  <Paragraphs>13</Paragraphs>
  <TotalTime>32</TotalTime>
  <ScaleCrop>false</ScaleCrop>
  <LinksUpToDate>false</LinksUpToDate>
  <CharactersWithSpaces>6067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2022-09-09T06:59:00Z</dcterms:created>
  <dc:creator>xbany</dc:creator>
  <cp:lastModifiedBy>曾繁壮</cp:lastModifiedBy>
  <dcterms:modified xsi:type="dcterms:W3CDTF">2025-09-04T02:19:20Z</dcterms:modified>
  <dc:title>公开文本2020</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BD2F638BECFA466FB398498E50B6CA81_13</vt:lpwstr>
  </property>
  <property fmtid="{D5CDD505-2E9C-101B-9397-08002B2CF9AE}" pid="4" name="KSOTemplateDocerSaveRecord">
    <vt:lpwstr>eyJoZGlkIjoiYWQ4MzU0NWY3Njc3OTI0MjgzMzc5MzhlNTRlYzJhODgiLCJ1c2VySWQiOiIxMTQzMjUwNDY2In0=</vt:lpwstr>
  </property>
</Properties>
</file>