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E81DD">
      <w:pPr>
        <w:rPr>
          <w:rFonts w:hint="eastAsia" w:ascii="方正仿宋_GB2312" w:hAnsi="方正仿宋_GB2312" w:eastAsia="方正仿宋_GB2312" w:cs="方正仿宋_GB2312"/>
          <w:sz w:val="32"/>
          <w:szCs w:val="32"/>
          <w:lang w:val="en-US" w:eastAsia="zh-CN"/>
        </w:rPr>
      </w:pPr>
      <w:bookmarkStart w:id="0" w:name="_GoBack"/>
      <w:r>
        <w:rPr>
          <w:rFonts w:hint="eastAsia" w:ascii="方正仿宋_GB2312" w:hAnsi="方正仿宋_GB2312" w:eastAsia="方正仿宋_GB2312" w:cs="方正仿宋_GB2312"/>
          <w:sz w:val="32"/>
          <w:szCs w:val="32"/>
          <w:lang w:eastAsia="zh-CN"/>
        </w:rPr>
        <w:t>附件</w:t>
      </w:r>
      <w:r>
        <w:rPr>
          <w:rFonts w:hint="eastAsia" w:ascii="方正仿宋_GB2312" w:hAnsi="方正仿宋_GB2312" w:eastAsia="方正仿宋_GB2312" w:cs="方正仿宋_GB2312"/>
          <w:sz w:val="32"/>
          <w:szCs w:val="32"/>
          <w:lang w:val="en-US" w:eastAsia="zh-CN"/>
        </w:rPr>
        <w:t>1：</w:t>
      </w:r>
    </w:p>
    <w:bookmarkEnd w:id="0"/>
    <w:p w14:paraId="247A34C1">
      <w:pPr>
        <w:rPr>
          <w:rFonts w:hint="default"/>
          <w:lang w:val="en-US" w:eastAsia="zh-CN"/>
        </w:rPr>
      </w:pPr>
    </w:p>
    <w:p w14:paraId="6A7D3A77">
      <w:pPr>
        <w:rPr>
          <w:rFonts w:hint="default" w:ascii="方正仿宋_GB2312" w:hAnsi="方正仿宋_GB2312" w:eastAsia="方正仿宋_GB2312" w:cs="方正仿宋_GB2312"/>
          <w:sz w:val="32"/>
          <w:szCs w:val="32"/>
          <w:lang w:val="en-US" w:eastAsia="zh-CN"/>
        </w:rPr>
      </w:pPr>
    </w:p>
    <w:p w14:paraId="69BE375A">
      <w:pPr>
        <w:jc w:val="center"/>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b/>
          <w:bCs/>
          <w:sz w:val="32"/>
          <w:szCs w:val="32"/>
          <w:lang w:val="en-US" w:eastAsia="zh-CN"/>
        </w:rPr>
        <w:t>农村产业项目用地分类指引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352"/>
        <w:gridCol w:w="3329"/>
        <w:gridCol w:w="2841"/>
      </w:tblGrid>
      <w:tr w14:paraId="55D4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4" w:hRule="atLeast"/>
        </w:trPr>
        <w:tc>
          <w:tcPr>
            <w:tcW w:w="2352" w:type="dxa"/>
            <w:vAlign w:val="center"/>
          </w:tcPr>
          <w:p w14:paraId="699E3F60">
            <w:pPr>
              <w:keepNext w:val="0"/>
              <w:keepLines w:val="0"/>
              <w:widowControl/>
              <w:suppressLineNumbers w:val="0"/>
              <w:jc w:val="center"/>
              <w:rPr>
                <w:rFonts w:ascii="宋体" w:hAnsi="宋体" w:eastAsia="宋体" w:cs="宋体"/>
                <w:b/>
                <w:bCs/>
                <w:kern w:val="0"/>
                <w:sz w:val="24"/>
                <w:szCs w:val="24"/>
                <w:lang w:val="en-US" w:eastAsia="zh-CN" w:bidi="ar"/>
              </w:rPr>
            </w:pPr>
          </w:p>
          <w:p w14:paraId="2FEA08F3">
            <w:pPr>
              <w:keepNext w:val="0"/>
              <w:keepLines w:val="0"/>
              <w:widowControl/>
              <w:suppressLineNumbers w:val="0"/>
              <w:jc w:val="center"/>
              <w:rPr>
                <w:b/>
                <w:bCs/>
              </w:rPr>
            </w:pPr>
            <w:r>
              <w:rPr>
                <w:rFonts w:ascii="宋体" w:hAnsi="宋体" w:eastAsia="宋体" w:cs="宋体"/>
                <w:b/>
                <w:bCs/>
                <w:kern w:val="0"/>
                <w:sz w:val="24"/>
                <w:szCs w:val="24"/>
                <w:lang w:val="en-US" w:eastAsia="zh-CN" w:bidi="ar"/>
              </w:rPr>
              <w:t>类别</w:t>
            </w:r>
          </w:p>
          <w:p w14:paraId="06FB40AB">
            <w:pPr>
              <w:jc w:val="center"/>
              <w:rPr>
                <w:rFonts w:hint="default"/>
                <w:b/>
                <w:bCs/>
                <w:vertAlign w:val="baseline"/>
                <w:lang w:val="en-US" w:eastAsia="zh-CN"/>
              </w:rPr>
            </w:pPr>
          </w:p>
        </w:tc>
        <w:tc>
          <w:tcPr>
            <w:tcW w:w="6170" w:type="dxa"/>
            <w:gridSpan w:val="2"/>
            <w:vAlign w:val="center"/>
          </w:tcPr>
          <w:p w14:paraId="41A74973">
            <w:pPr>
              <w:keepNext w:val="0"/>
              <w:keepLines w:val="0"/>
              <w:widowControl/>
              <w:suppressLineNumbers w:val="0"/>
              <w:jc w:val="center"/>
              <w:rPr>
                <w:rFonts w:ascii="宋体" w:hAnsi="宋体" w:eastAsia="宋体" w:cs="宋体"/>
                <w:b/>
                <w:bCs/>
                <w:kern w:val="0"/>
                <w:sz w:val="24"/>
                <w:szCs w:val="24"/>
                <w:lang w:val="en-US" w:eastAsia="zh-CN" w:bidi="ar"/>
              </w:rPr>
            </w:pPr>
          </w:p>
          <w:p w14:paraId="7E3F7E56">
            <w:pPr>
              <w:keepNext w:val="0"/>
              <w:keepLines w:val="0"/>
              <w:widowControl/>
              <w:suppressLineNumbers w:val="0"/>
              <w:jc w:val="center"/>
              <w:rPr>
                <w:b/>
                <w:bCs/>
              </w:rPr>
            </w:pPr>
            <w:r>
              <w:rPr>
                <w:rFonts w:ascii="宋体" w:hAnsi="宋体" w:eastAsia="宋体" w:cs="宋体"/>
                <w:b/>
                <w:bCs/>
                <w:kern w:val="0"/>
                <w:sz w:val="24"/>
                <w:szCs w:val="24"/>
                <w:lang w:val="en-US" w:eastAsia="zh-CN" w:bidi="ar"/>
              </w:rPr>
              <w:t>引导目录</w:t>
            </w:r>
          </w:p>
          <w:p w14:paraId="3A82520A">
            <w:pPr>
              <w:jc w:val="center"/>
              <w:rPr>
                <w:rFonts w:hint="default"/>
                <w:b/>
                <w:bCs/>
                <w:vertAlign w:val="baseline"/>
                <w:lang w:val="en-US" w:eastAsia="zh-CN"/>
              </w:rPr>
            </w:pPr>
          </w:p>
        </w:tc>
      </w:tr>
      <w:tr w14:paraId="4023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52" w:type="dxa"/>
            <w:vMerge w:val="restart"/>
            <w:vAlign w:val="center"/>
          </w:tcPr>
          <w:p w14:paraId="0695E897">
            <w:pPr>
              <w:keepNext w:val="0"/>
              <w:keepLines w:val="0"/>
              <w:widowControl/>
              <w:suppressLineNumbers w:val="0"/>
              <w:jc w:val="center"/>
            </w:pPr>
            <w:r>
              <w:rPr>
                <w:rFonts w:ascii="宋体" w:hAnsi="宋体" w:eastAsia="宋体" w:cs="宋体"/>
                <w:kern w:val="0"/>
                <w:sz w:val="24"/>
                <w:szCs w:val="24"/>
                <w:lang w:val="en-US" w:eastAsia="zh-CN" w:bidi="ar"/>
              </w:rPr>
              <w:t>农村产业建设用地</w:t>
            </w:r>
          </w:p>
          <w:p w14:paraId="1631F7EB">
            <w:pPr>
              <w:jc w:val="center"/>
              <w:rPr>
                <w:rFonts w:hint="default"/>
                <w:vertAlign w:val="baseline"/>
                <w:lang w:val="en-US" w:eastAsia="zh-CN"/>
              </w:rPr>
            </w:pPr>
          </w:p>
        </w:tc>
        <w:tc>
          <w:tcPr>
            <w:tcW w:w="3329" w:type="dxa"/>
            <w:vAlign w:val="center"/>
          </w:tcPr>
          <w:p w14:paraId="349CBE8B">
            <w:pPr>
              <w:keepNext w:val="0"/>
              <w:keepLines w:val="0"/>
              <w:widowControl/>
              <w:suppressLineNumbers w:val="0"/>
              <w:jc w:val="center"/>
            </w:pPr>
            <w:r>
              <w:rPr>
                <w:rFonts w:ascii="宋体" w:hAnsi="宋体" w:eastAsia="宋体" w:cs="宋体"/>
                <w:kern w:val="0"/>
                <w:sz w:val="24"/>
                <w:szCs w:val="24"/>
                <w:lang w:val="en-US" w:eastAsia="zh-CN" w:bidi="ar"/>
              </w:rPr>
              <w:t>农业科研</w:t>
            </w:r>
          </w:p>
          <w:p w14:paraId="74D8D76A">
            <w:pPr>
              <w:jc w:val="center"/>
              <w:rPr>
                <w:rFonts w:hint="default"/>
                <w:vertAlign w:val="baseline"/>
                <w:lang w:val="en-US" w:eastAsia="zh-CN"/>
              </w:rPr>
            </w:pPr>
          </w:p>
        </w:tc>
        <w:tc>
          <w:tcPr>
            <w:tcW w:w="2841" w:type="dxa"/>
            <w:vAlign w:val="center"/>
          </w:tcPr>
          <w:p w14:paraId="2F54F8ED">
            <w:pPr>
              <w:pStyle w:val="2"/>
              <w:keepNext w:val="0"/>
              <w:keepLines w:val="0"/>
              <w:widowControl/>
              <w:suppressLineNumbers w:val="0"/>
              <w:spacing w:before="120" w:beforeAutospacing="0" w:after="120" w:afterAutospacing="0"/>
              <w:jc w:val="both"/>
            </w:pPr>
            <w:r>
              <w:t>各类农业园区中的科研、办公、会议、停车场等场所用地</w:t>
            </w:r>
          </w:p>
          <w:p w14:paraId="0A36EB27">
            <w:pPr>
              <w:jc w:val="both"/>
              <w:rPr>
                <w:rFonts w:hint="default"/>
                <w:vertAlign w:val="baseline"/>
                <w:lang w:val="en-US" w:eastAsia="zh-CN"/>
              </w:rPr>
            </w:pPr>
          </w:p>
        </w:tc>
      </w:tr>
      <w:tr w14:paraId="6A03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52" w:type="dxa"/>
            <w:vMerge w:val="continue"/>
            <w:tcBorders/>
            <w:vAlign w:val="center"/>
          </w:tcPr>
          <w:p w14:paraId="2A9F0EC2">
            <w:pPr>
              <w:jc w:val="center"/>
              <w:rPr>
                <w:rFonts w:hint="default"/>
                <w:vertAlign w:val="baseline"/>
                <w:lang w:val="en-US" w:eastAsia="zh-CN"/>
              </w:rPr>
            </w:pPr>
          </w:p>
        </w:tc>
        <w:tc>
          <w:tcPr>
            <w:tcW w:w="3329" w:type="dxa"/>
            <w:vAlign w:val="center"/>
          </w:tcPr>
          <w:p w14:paraId="7CEE3FD4">
            <w:pPr>
              <w:keepNext w:val="0"/>
              <w:keepLines w:val="0"/>
              <w:widowControl/>
              <w:suppressLineNumbers w:val="0"/>
              <w:jc w:val="center"/>
            </w:pPr>
            <w:r>
              <w:rPr>
                <w:rFonts w:ascii="宋体" w:hAnsi="宋体" w:eastAsia="宋体" w:cs="宋体"/>
                <w:kern w:val="0"/>
                <w:sz w:val="24"/>
                <w:szCs w:val="24"/>
                <w:lang w:val="en-US" w:eastAsia="zh-CN" w:bidi="ar"/>
              </w:rPr>
              <w:t>农产品加工、集采集配</w:t>
            </w:r>
          </w:p>
          <w:p w14:paraId="7B88A35D">
            <w:pPr>
              <w:jc w:val="center"/>
              <w:rPr>
                <w:rFonts w:hint="default"/>
                <w:vertAlign w:val="baseline"/>
                <w:lang w:val="en-US" w:eastAsia="zh-CN"/>
              </w:rPr>
            </w:pPr>
          </w:p>
        </w:tc>
        <w:tc>
          <w:tcPr>
            <w:tcW w:w="2841" w:type="dxa"/>
            <w:vAlign w:val="center"/>
          </w:tcPr>
          <w:p w14:paraId="2F6561E0">
            <w:pPr>
              <w:pStyle w:val="2"/>
              <w:keepNext w:val="0"/>
              <w:keepLines w:val="0"/>
              <w:widowControl/>
              <w:suppressLineNumbers w:val="0"/>
              <w:spacing w:line="360" w:lineRule="atLeast"/>
              <w:jc w:val="both"/>
              <w:textAlignment w:val="top"/>
            </w:pPr>
            <w:r>
              <w:rPr>
                <w:spacing w:val="9"/>
                <w:sz w:val="25"/>
                <w:szCs w:val="25"/>
                <w:u w:val="none"/>
              </w:rPr>
              <w:t>指农产品精深加工、仓储、集采集配等，包括经营性粮食加工，屠宰和肉类、水产品精深加工场所用地</w:t>
            </w:r>
          </w:p>
          <w:p w14:paraId="64F4F1DA">
            <w:pPr>
              <w:jc w:val="both"/>
              <w:rPr>
                <w:rFonts w:hint="default"/>
                <w:vertAlign w:val="baseline"/>
                <w:lang w:val="en-US" w:eastAsia="zh-CN"/>
              </w:rPr>
            </w:pPr>
          </w:p>
        </w:tc>
      </w:tr>
      <w:tr w14:paraId="3889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52" w:type="dxa"/>
            <w:vMerge w:val="continue"/>
            <w:tcBorders/>
            <w:vAlign w:val="center"/>
          </w:tcPr>
          <w:p w14:paraId="4C795189">
            <w:pPr>
              <w:jc w:val="center"/>
              <w:rPr>
                <w:rFonts w:hint="default"/>
                <w:vertAlign w:val="baseline"/>
                <w:lang w:val="en-US" w:eastAsia="zh-CN"/>
              </w:rPr>
            </w:pPr>
          </w:p>
        </w:tc>
        <w:tc>
          <w:tcPr>
            <w:tcW w:w="3329" w:type="dxa"/>
            <w:vAlign w:val="center"/>
          </w:tcPr>
          <w:p w14:paraId="2A572510">
            <w:pPr>
              <w:keepNext w:val="0"/>
              <w:keepLines w:val="0"/>
              <w:widowControl/>
              <w:suppressLineNumbers w:val="0"/>
              <w:jc w:val="center"/>
            </w:pPr>
            <w:r>
              <w:rPr>
                <w:rFonts w:ascii="宋体" w:hAnsi="宋体" w:eastAsia="宋体" w:cs="宋体"/>
                <w:kern w:val="0"/>
                <w:sz w:val="24"/>
                <w:szCs w:val="24"/>
                <w:lang w:val="en-US" w:eastAsia="zh-CN" w:bidi="ar"/>
              </w:rPr>
              <w:t>经营性农产品、农资、农机存储和维修</w:t>
            </w:r>
          </w:p>
          <w:p w14:paraId="0A236B00">
            <w:pPr>
              <w:jc w:val="center"/>
              <w:rPr>
                <w:rFonts w:hint="default"/>
                <w:vertAlign w:val="baseline"/>
                <w:lang w:val="en-US" w:eastAsia="zh-CN"/>
              </w:rPr>
            </w:pPr>
          </w:p>
        </w:tc>
        <w:tc>
          <w:tcPr>
            <w:tcW w:w="2841" w:type="dxa"/>
            <w:vAlign w:val="center"/>
          </w:tcPr>
          <w:p w14:paraId="07573841">
            <w:pPr>
              <w:keepNext w:val="0"/>
              <w:keepLines w:val="0"/>
              <w:widowControl/>
              <w:suppressLineNumbers w:val="0"/>
              <w:jc w:val="both"/>
            </w:pPr>
            <w:r>
              <w:rPr>
                <w:rFonts w:ascii="宋体" w:hAnsi="宋体" w:eastAsia="宋体" w:cs="宋体"/>
                <w:kern w:val="0"/>
                <w:sz w:val="24"/>
                <w:szCs w:val="24"/>
                <w:lang w:val="en-US" w:eastAsia="zh-CN" w:bidi="ar"/>
              </w:rPr>
              <w:t>经营性粮食企业存储、农资、农机仓库和维修场所用地</w:t>
            </w:r>
          </w:p>
          <w:p w14:paraId="2D2732DE">
            <w:pPr>
              <w:jc w:val="both"/>
              <w:rPr>
                <w:rFonts w:hint="default"/>
                <w:vertAlign w:val="baseline"/>
                <w:lang w:val="en-US" w:eastAsia="zh-CN"/>
              </w:rPr>
            </w:pPr>
          </w:p>
        </w:tc>
      </w:tr>
      <w:tr w14:paraId="01E1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52" w:type="dxa"/>
            <w:vMerge w:val="continue"/>
            <w:tcBorders/>
            <w:vAlign w:val="center"/>
          </w:tcPr>
          <w:p w14:paraId="291C1620">
            <w:pPr>
              <w:jc w:val="center"/>
              <w:rPr>
                <w:rFonts w:hint="default"/>
                <w:vertAlign w:val="baseline"/>
                <w:lang w:val="en-US" w:eastAsia="zh-CN"/>
              </w:rPr>
            </w:pPr>
          </w:p>
        </w:tc>
        <w:tc>
          <w:tcPr>
            <w:tcW w:w="3329" w:type="dxa"/>
            <w:vAlign w:val="center"/>
          </w:tcPr>
          <w:p w14:paraId="4EA400D3">
            <w:pPr>
              <w:keepNext w:val="0"/>
              <w:keepLines w:val="0"/>
              <w:widowControl/>
              <w:suppressLineNumbers w:val="0"/>
              <w:jc w:val="center"/>
            </w:pPr>
            <w:r>
              <w:rPr>
                <w:rFonts w:ascii="宋体" w:hAnsi="宋体" w:eastAsia="宋体" w:cs="宋体"/>
                <w:kern w:val="0"/>
                <w:sz w:val="24"/>
                <w:szCs w:val="24"/>
                <w:lang w:val="en-US" w:eastAsia="zh-CN" w:bidi="ar"/>
              </w:rPr>
              <w:t>农产品展示销售</w:t>
            </w:r>
          </w:p>
          <w:p w14:paraId="7F64B4A5">
            <w:pPr>
              <w:jc w:val="center"/>
              <w:rPr>
                <w:rFonts w:hint="default"/>
                <w:vertAlign w:val="baseline"/>
                <w:lang w:val="en-US" w:eastAsia="zh-CN"/>
              </w:rPr>
            </w:pPr>
          </w:p>
        </w:tc>
        <w:tc>
          <w:tcPr>
            <w:tcW w:w="2841" w:type="dxa"/>
            <w:vAlign w:val="center"/>
          </w:tcPr>
          <w:p w14:paraId="1C76C1CF">
            <w:pPr>
              <w:pStyle w:val="2"/>
              <w:keepNext w:val="0"/>
              <w:keepLines w:val="0"/>
              <w:widowControl/>
              <w:suppressLineNumbers w:val="0"/>
              <w:spacing w:before="120" w:beforeAutospacing="0" w:after="120" w:afterAutospacing="0" w:line="360" w:lineRule="atLeast"/>
              <w:jc w:val="both"/>
              <w:textAlignment w:val="top"/>
              <w:rPr>
                <w:rFonts w:hint="default"/>
                <w:vertAlign w:val="baseline"/>
                <w:lang w:val="en-US" w:eastAsia="zh-CN"/>
              </w:rPr>
            </w:pPr>
            <w:r>
              <w:rPr>
                <w:spacing w:val="9"/>
                <w:sz w:val="25"/>
                <w:szCs w:val="25"/>
                <w:u w:val="none"/>
              </w:rPr>
              <w:t>包含农产品电商服务在内的经营性农产品展示销售场所用地、景区式花卉生产基地</w:t>
            </w:r>
          </w:p>
        </w:tc>
      </w:tr>
      <w:tr w14:paraId="3349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52" w:type="dxa"/>
            <w:vMerge w:val="continue"/>
            <w:tcBorders/>
            <w:vAlign w:val="center"/>
          </w:tcPr>
          <w:p w14:paraId="2B5045E3">
            <w:pPr>
              <w:jc w:val="center"/>
              <w:rPr>
                <w:rFonts w:hint="default"/>
                <w:vertAlign w:val="baseline"/>
                <w:lang w:val="en-US" w:eastAsia="zh-CN"/>
              </w:rPr>
            </w:pPr>
          </w:p>
        </w:tc>
        <w:tc>
          <w:tcPr>
            <w:tcW w:w="3329" w:type="dxa"/>
            <w:vAlign w:val="center"/>
          </w:tcPr>
          <w:p w14:paraId="267174EB">
            <w:pPr>
              <w:keepNext w:val="0"/>
              <w:keepLines w:val="0"/>
              <w:widowControl/>
              <w:suppressLineNumbers w:val="0"/>
              <w:jc w:val="center"/>
            </w:pPr>
            <w:r>
              <w:rPr>
                <w:rFonts w:ascii="宋体" w:hAnsi="宋体" w:eastAsia="宋体" w:cs="宋体"/>
                <w:kern w:val="0"/>
                <w:sz w:val="24"/>
                <w:szCs w:val="24"/>
                <w:lang w:val="en-US" w:eastAsia="zh-CN" w:bidi="ar"/>
              </w:rPr>
              <w:t>休闲农业和乡村旅游</w:t>
            </w:r>
          </w:p>
          <w:p w14:paraId="132D0F3D">
            <w:pPr>
              <w:jc w:val="center"/>
              <w:rPr>
                <w:rFonts w:hint="default"/>
                <w:vertAlign w:val="baseline"/>
                <w:lang w:val="en-US" w:eastAsia="zh-CN"/>
              </w:rPr>
            </w:pPr>
          </w:p>
        </w:tc>
        <w:tc>
          <w:tcPr>
            <w:tcW w:w="2841" w:type="dxa"/>
            <w:vAlign w:val="center"/>
          </w:tcPr>
          <w:p w14:paraId="401064A8">
            <w:pPr>
              <w:keepNext w:val="0"/>
              <w:keepLines w:val="0"/>
              <w:widowControl/>
              <w:suppressLineNumbers w:val="0"/>
              <w:jc w:val="both"/>
              <w:rPr>
                <w:rFonts w:hint="default"/>
                <w:vertAlign w:val="baseline"/>
                <w:lang w:val="en-US" w:eastAsia="zh-CN"/>
              </w:rPr>
            </w:pPr>
            <w:r>
              <w:rPr>
                <w:rFonts w:ascii="宋体" w:hAnsi="宋体" w:eastAsia="宋体" w:cs="宋体"/>
                <w:kern w:val="0"/>
                <w:sz w:val="24"/>
                <w:szCs w:val="24"/>
                <w:lang w:val="en-US" w:eastAsia="zh-CN" w:bidi="ar"/>
              </w:rPr>
              <w:t>以农业为依托的休闲观光旅游度假场所，包含：共享农庄、餐饮、农家乐、住宿、采摘体验、游学、露营、房车营地、森林康养、森林人家、森林驿站、停车场等</w:t>
            </w:r>
          </w:p>
        </w:tc>
      </w:tr>
      <w:tr w14:paraId="2CF6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52" w:type="dxa"/>
            <w:vMerge w:val="restart"/>
            <w:vAlign w:val="center"/>
          </w:tcPr>
          <w:p w14:paraId="72E058D9">
            <w:pPr>
              <w:keepNext w:val="0"/>
              <w:keepLines w:val="0"/>
              <w:widowControl/>
              <w:suppressLineNumbers w:val="0"/>
              <w:jc w:val="center"/>
              <w:rPr>
                <w:rFonts w:ascii="宋体" w:hAnsi="宋体" w:eastAsia="宋体" w:cs="宋体"/>
                <w:kern w:val="0"/>
                <w:sz w:val="24"/>
                <w:szCs w:val="24"/>
                <w:lang w:val="en-US" w:eastAsia="zh-CN" w:bidi="ar"/>
              </w:rPr>
            </w:pPr>
          </w:p>
          <w:p w14:paraId="1625AC8E">
            <w:pPr>
              <w:keepNext w:val="0"/>
              <w:keepLines w:val="0"/>
              <w:widowControl/>
              <w:suppressLineNumbers w:val="0"/>
              <w:jc w:val="center"/>
              <w:rPr>
                <w:rFonts w:ascii="宋体" w:hAnsi="宋体" w:eastAsia="宋体" w:cs="宋体"/>
                <w:kern w:val="0"/>
                <w:sz w:val="24"/>
                <w:szCs w:val="24"/>
                <w:lang w:val="en-US" w:eastAsia="zh-CN" w:bidi="ar"/>
              </w:rPr>
            </w:pPr>
          </w:p>
          <w:p w14:paraId="7E24B290">
            <w:pPr>
              <w:keepNext w:val="0"/>
              <w:keepLines w:val="0"/>
              <w:widowControl/>
              <w:suppressLineNumbers w:val="0"/>
              <w:jc w:val="center"/>
              <w:rPr>
                <w:rFonts w:ascii="宋体" w:hAnsi="宋体" w:eastAsia="宋体" w:cs="宋体"/>
                <w:kern w:val="0"/>
                <w:sz w:val="24"/>
                <w:szCs w:val="24"/>
                <w:lang w:val="en-US" w:eastAsia="zh-CN" w:bidi="ar"/>
              </w:rPr>
            </w:pPr>
          </w:p>
          <w:p w14:paraId="1D7D548A">
            <w:pPr>
              <w:keepNext w:val="0"/>
              <w:keepLines w:val="0"/>
              <w:widowControl/>
              <w:suppressLineNumbers w:val="0"/>
              <w:jc w:val="center"/>
              <w:rPr>
                <w:rFonts w:ascii="宋体" w:hAnsi="宋体" w:eastAsia="宋体" w:cs="宋体"/>
                <w:kern w:val="0"/>
                <w:sz w:val="24"/>
                <w:szCs w:val="24"/>
                <w:lang w:val="en-US" w:eastAsia="zh-CN" w:bidi="ar"/>
              </w:rPr>
            </w:pPr>
          </w:p>
          <w:p w14:paraId="5DD32016">
            <w:pPr>
              <w:keepNext w:val="0"/>
              <w:keepLines w:val="0"/>
              <w:widowControl/>
              <w:suppressLineNumbers w:val="0"/>
              <w:jc w:val="center"/>
              <w:rPr>
                <w:rFonts w:ascii="宋体" w:hAnsi="宋体" w:eastAsia="宋体" w:cs="宋体"/>
                <w:kern w:val="0"/>
                <w:sz w:val="24"/>
                <w:szCs w:val="24"/>
                <w:lang w:val="en-US" w:eastAsia="zh-CN" w:bidi="ar"/>
              </w:rPr>
            </w:pPr>
          </w:p>
          <w:p w14:paraId="7B5CB14A">
            <w:pPr>
              <w:keepNext w:val="0"/>
              <w:keepLines w:val="0"/>
              <w:widowControl/>
              <w:suppressLineNumbers w:val="0"/>
              <w:jc w:val="center"/>
              <w:rPr>
                <w:rFonts w:ascii="宋体" w:hAnsi="宋体" w:eastAsia="宋体" w:cs="宋体"/>
                <w:kern w:val="0"/>
                <w:sz w:val="24"/>
                <w:szCs w:val="24"/>
                <w:lang w:val="en-US" w:eastAsia="zh-CN" w:bidi="ar"/>
              </w:rPr>
            </w:pPr>
          </w:p>
          <w:p w14:paraId="417D0253">
            <w:pPr>
              <w:keepNext w:val="0"/>
              <w:keepLines w:val="0"/>
              <w:widowControl/>
              <w:suppressLineNumbers w:val="0"/>
              <w:jc w:val="center"/>
              <w:rPr>
                <w:rFonts w:ascii="宋体" w:hAnsi="宋体" w:eastAsia="宋体" w:cs="宋体"/>
                <w:kern w:val="0"/>
                <w:sz w:val="24"/>
                <w:szCs w:val="24"/>
                <w:lang w:val="en-US" w:eastAsia="zh-CN" w:bidi="ar"/>
              </w:rPr>
            </w:pPr>
          </w:p>
          <w:p w14:paraId="0CAA5051">
            <w:pPr>
              <w:keepNext w:val="0"/>
              <w:keepLines w:val="0"/>
              <w:widowControl/>
              <w:suppressLineNumbers w:val="0"/>
              <w:jc w:val="center"/>
              <w:rPr>
                <w:rFonts w:ascii="宋体" w:hAnsi="宋体" w:eastAsia="宋体" w:cs="宋体"/>
                <w:kern w:val="0"/>
                <w:sz w:val="24"/>
                <w:szCs w:val="24"/>
                <w:lang w:val="en-US" w:eastAsia="zh-CN" w:bidi="ar"/>
              </w:rPr>
            </w:pPr>
          </w:p>
          <w:p w14:paraId="5759CA4F">
            <w:pPr>
              <w:keepNext w:val="0"/>
              <w:keepLines w:val="0"/>
              <w:widowControl/>
              <w:suppressLineNumbers w:val="0"/>
              <w:jc w:val="center"/>
              <w:rPr>
                <w:rFonts w:ascii="宋体" w:hAnsi="宋体" w:eastAsia="宋体" w:cs="宋体"/>
                <w:kern w:val="0"/>
                <w:sz w:val="24"/>
                <w:szCs w:val="24"/>
                <w:lang w:val="en-US" w:eastAsia="zh-CN" w:bidi="ar"/>
              </w:rPr>
            </w:pPr>
          </w:p>
          <w:p w14:paraId="4499AB0C">
            <w:pPr>
              <w:keepNext w:val="0"/>
              <w:keepLines w:val="0"/>
              <w:widowControl/>
              <w:suppressLineNumbers w:val="0"/>
              <w:jc w:val="center"/>
              <w:rPr>
                <w:rFonts w:ascii="宋体" w:hAnsi="宋体" w:eastAsia="宋体" w:cs="宋体"/>
                <w:kern w:val="0"/>
                <w:sz w:val="24"/>
                <w:szCs w:val="24"/>
                <w:lang w:val="en-US" w:eastAsia="zh-CN" w:bidi="ar"/>
              </w:rPr>
            </w:pPr>
          </w:p>
          <w:p w14:paraId="0C29D2E5">
            <w:pPr>
              <w:keepNext w:val="0"/>
              <w:keepLines w:val="0"/>
              <w:widowControl/>
              <w:suppressLineNumbers w:val="0"/>
              <w:jc w:val="center"/>
              <w:rPr>
                <w:rFonts w:ascii="宋体" w:hAnsi="宋体" w:eastAsia="宋体" w:cs="宋体"/>
                <w:kern w:val="0"/>
                <w:sz w:val="24"/>
                <w:szCs w:val="24"/>
                <w:lang w:val="en-US" w:eastAsia="zh-CN" w:bidi="ar"/>
              </w:rPr>
            </w:pPr>
          </w:p>
          <w:p w14:paraId="09E86FF5">
            <w:pPr>
              <w:keepNext w:val="0"/>
              <w:keepLines w:val="0"/>
              <w:widowControl/>
              <w:suppressLineNumbers w:val="0"/>
              <w:jc w:val="center"/>
              <w:rPr>
                <w:rFonts w:ascii="宋体" w:hAnsi="宋体" w:eastAsia="宋体" w:cs="宋体"/>
                <w:kern w:val="0"/>
                <w:sz w:val="24"/>
                <w:szCs w:val="24"/>
                <w:lang w:val="en-US" w:eastAsia="zh-CN" w:bidi="ar"/>
              </w:rPr>
            </w:pPr>
          </w:p>
          <w:p w14:paraId="5B7E6F5B">
            <w:pPr>
              <w:keepNext w:val="0"/>
              <w:keepLines w:val="0"/>
              <w:widowControl/>
              <w:suppressLineNumbers w:val="0"/>
              <w:jc w:val="center"/>
              <w:rPr>
                <w:rFonts w:ascii="宋体" w:hAnsi="宋体" w:eastAsia="宋体" w:cs="宋体"/>
                <w:kern w:val="0"/>
                <w:sz w:val="24"/>
                <w:szCs w:val="24"/>
                <w:lang w:val="en-US" w:eastAsia="zh-CN" w:bidi="ar"/>
              </w:rPr>
            </w:pPr>
          </w:p>
          <w:p w14:paraId="51406244">
            <w:pPr>
              <w:keepNext w:val="0"/>
              <w:keepLines w:val="0"/>
              <w:widowControl/>
              <w:suppressLineNumbers w:val="0"/>
              <w:jc w:val="center"/>
              <w:rPr>
                <w:rFonts w:ascii="宋体" w:hAnsi="宋体" w:eastAsia="宋体" w:cs="宋体"/>
                <w:kern w:val="0"/>
                <w:sz w:val="24"/>
                <w:szCs w:val="24"/>
                <w:lang w:val="en-US" w:eastAsia="zh-CN" w:bidi="ar"/>
              </w:rPr>
            </w:pPr>
          </w:p>
          <w:p w14:paraId="0A047178">
            <w:pPr>
              <w:keepNext w:val="0"/>
              <w:keepLines w:val="0"/>
              <w:widowControl/>
              <w:suppressLineNumbers w:val="0"/>
              <w:jc w:val="center"/>
              <w:rPr>
                <w:rFonts w:ascii="宋体" w:hAnsi="宋体" w:eastAsia="宋体" w:cs="宋体"/>
                <w:kern w:val="0"/>
                <w:sz w:val="24"/>
                <w:szCs w:val="24"/>
                <w:lang w:val="en-US" w:eastAsia="zh-CN" w:bidi="ar"/>
              </w:rPr>
            </w:pPr>
          </w:p>
          <w:p w14:paraId="41E08AA7">
            <w:pPr>
              <w:keepNext w:val="0"/>
              <w:keepLines w:val="0"/>
              <w:widowControl/>
              <w:suppressLineNumbers w:val="0"/>
              <w:jc w:val="center"/>
              <w:rPr>
                <w:rFonts w:ascii="宋体" w:hAnsi="宋体" w:eastAsia="宋体" w:cs="宋体"/>
                <w:kern w:val="0"/>
                <w:sz w:val="24"/>
                <w:szCs w:val="24"/>
                <w:lang w:val="en-US" w:eastAsia="zh-CN" w:bidi="ar"/>
              </w:rPr>
            </w:pPr>
          </w:p>
          <w:p w14:paraId="4EE520A9">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设施农业用地</w:t>
            </w:r>
          </w:p>
          <w:p w14:paraId="47CFE287">
            <w:pPr>
              <w:keepNext w:val="0"/>
              <w:keepLines w:val="0"/>
              <w:widowControl/>
              <w:suppressLineNumbers w:val="0"/>
              <w:jc w:val="center"/>
              <w:rPr>
                <w:rFonts w:ascii="宋体" w:hAnsi="宋体" w:eastAsia="宋体" w:cs="宋体"/>
                <w:kern w:val="0"/>
                <w:sz w:val="24"/>
                <w:szCs w:val="24"/>
                <w:lang w:val="en-US" w:eastAsia="zh-CN" w:bidi="ar"/>
              </w:rPr>
            </w:pPr>
          </w:p>
          <w:p w14:paraId="5AE52020">
            <w:pPr>
              <w:keepNext w:val="0"/>
              <w:keepLines w:val="0"/>
              <w:widowControl/>
              <w:suppressLineNumbers w:val="0"/>
              <w:jc w:val="center"/>
              <w:rPr>
                <w:rFonts w:ascii="宋体" w:hAnsi="宋体" w:eastAsia="宋体" w:cs="宋体"/>
                <w:kern w:val="0"/>
                <w:sz w:val="24"/>
                <w:szCs w:val="24"/>
                <w:lang w:val="en-US" w:eastAsia="zh-CN" w:bidi="ar"/>
              </w:rPr>
            </w:pPr>
          </w:p>
          <w:p w14:paraId="5BDDECD8">
            <w:pPr>
              <w:keepNext w:val="0"/>
              <w:keepLines w:val="0"/>
              <w:widowControl/>
              <w:suppressLineNumbers w:val="0"/>
              <w:jc w:val="center"/>
              <w:rPr>
                <w:rFonts w:ascii="宋体" w:hAnsi="宋体" w:eastAsia="宋体" w:cs="宋体"/>
                <w:kern w:val="0"/>
                <w:sz w:val="24"/>
                <w:szCs w:val="24"/>
                <w:lang w:val="en-US" w:eastAsia="zh-CN" w:bidi="ar"/>
              </w:rPr>
            </w:pPr>
          </w:p>
          <w:p w14:paraId="4394C447">
            <w:pPr>
              <w:keepNext w:val="0"/>
              <w:keepLines w:val="0"/>
              <w:widowControl/>
              <w:suppressLineNumbers w:val="0"/>
              <w:jc w:val="center"/>
              <w:rPr>
                <w:rFonts w:ascii="宋体" w:hAnsi="宋体" w:eastAsia="宋体" w:cs="宋体"/>
                <w:kern w:val="0"/>
                <w:sz w:val="24"/>
                <w:szCs w:val="24"/>
                <w:lang w:val="en-US" w:eastAsia="zh-CN" w:bidi="ar"/>
              </w:rPr>
            </w:pPr>
          </w:p>
          <w:p w14:paraId="3DAF436E">
            <w:pPr>
              <w:keepNext w:val="0"/>
              <w:keepLines w:val="0"/>
              <w:widowControl/>
              <w:suppressLineNumbers w:val="0"/>
              <w:jc w:val="center"/>
              <w:rPr>
                <w:rFonts w:ascii="宋体" w:hAnsi="宋体" w:eastAsia="宋体" w:cs="宋体"/>
                <w:kern w:val="0"/>
                <w:sz w:val="24"/>
                <w:szCs w:val="24"/>
                <w:lang w:val="en-US" w:eastAsia="zh-CN" w:bidi="ar"/>
              </w:rPr>
            </w:pPr>
          </w:p>
          <w:p w14:paraId="73A965DB">
            <w:pPr>
              <w:keepNext w:val="0"/>
              <w:keepLines w:val="0"/>
              <w:widowControl/>
              <w:suppressLineNumbers w:val="0"/>
              <w:jc w:val="center"/>
              <w:rPr>
                <w:rFonts w:ascii="宋体" w:hAnsi="宋体" w:eastAsia="宋体" w:cs="宋体"/>
                <w:kern w:val="0"/>
                <w:sz w:val="24"/>
                <w:szCs w:val="24"/>
                <w:lang w:val="en-US" w:eastAsia="zh-CN" w:bidi="ar"/>
              </w:rPr>
            </w:pPr>
          </w:p>
          <w:p w14:paraId="0BC2603D">
            <w:pPr>
              <w:keepNext w:val="0"/>
              <w:keepLines w:val="0"/>
              <w:widowControl/>
              <w:suppressLineNumbers w:val="0"/>
              <w:jc w:val="center"/>
              <w:rPr>
                <w:rFonts w:ascii="宋体" w:hAnsi="宋体" w:eastAsia="宋体" w:cs="宋体"/>
                <w:kern w:val="0"/>
                <w:sz w:val="24"/>
                <w:szCs w:val="24"/>
                <w:lang w:val="en-US" w:eastAsia="zh-CN" w:bidi="ar"/>
              </w:rPr>
            </w:pPr>
          </w:p>
          <w:p w14:paraId="674440C5">
            <w:pPr>
              <w:keepNext w:val="0"/>
              <w:keepLines w:val="0"/>
              <w:widowControl/>
              <w:suppressLineNumbers w:val="0"/>
              <w:jc w:val="center"/>
              <w:rPr>
                <w:rFonts w:ascii="宋体" w:hAnsi="宋体" w:eastAsia="宋体" w:cs="宋体"/>
                <w:kern w:val="0"/>
                <w:sz w:val="24"/>
                <w:szCs w:val="24"/>
                <w:lang w:val="en-US" w:eastAsia="zh-CN" w:bidi="ar"/>
              </w:rPr>
            </w:pPr>
          </w:p>
          <w:p w14:paraId="3F84E572">
            <w:pPr>
              <w:keepNext w:val="0"/>
              <w:keepLines w:val="0"/>
              <w:widowControl/>
              <w:suppressLineNumbers w:val="0"/>
              <w:jc w:val="center"/>
              <w:rPr>
                <w:rFonts w:ascii="宋体" w:hAnsi="宋体" w:eastAsia="宋体" w:cs="宋体"/>
                <w:kern w:val="0"/>
                <w:sz w:val="24"/>
                <w:szCs w:val="24"/>
                <w:lang w:val="en-US" w:eastAsia="zh-CN" w:bidi="ar"/>
              </w:rPr>
            </w:pPr>
          </w:p>
          <w:p w14:paraId="3A74A8F0">
            <w:pPr>
              <w:keepNext w:val="0"/>
              <w:keepLines w:val="0"/>
              <w:widowControl/>
              <w:suppressLineNumbers w:val="0"/>
              <w:jc w:val="center"/>
              <w:rPr>
                <w:rFonts w:ascii="宋体" w:hAnsi="宋体" w:eastAsia="宋体" w:cs="宋体"/>
                <w:kern w:val="0"/>
                <w:sz w:val="24"/>
                <w:szCs w:val="24"/>
                <w:lang w:val="en-US" w:eastAsia="zh-CN" w:bidi="ar"/>
              </w:rPr>
            </w:pPr>
          </w:p>
          <w:p w14:paraId="32C0AAAE">
            <w:pPr>
              <w:keepNext w:val="0"/>
              <w:keepLines w:val="0"/>
              <w:widowControl/>
              <w:suppressLineNumbers w:val="0"/>
              <w:jc w:val="center"/>
              <w:rPr>
                <w:rFonts w:ascii="宋体" w:hAnsi="宋体" w:eastAsia="宋体" w:cs="宋体"/>
                <w:kern w:val="0"/>
                <w:sz w:val="24"/>
                <w:szCs w:val="24"/>
                <w:lang w:val="en-US" w:eastAsia="zh-CN" w:bidi="ar"/>
              </w:rPr>
            </w:pPr>
          </w:p>
          <w:p w14:paraId="3223CAD7">
            <w:pPr>
              <w:keepNext w:val="0"/>
              <w:keepLines w:val="0"/>
              <w:widowControl/>
              <w:suppressLineNumbers w:val="0"/>
              <w:jc w:val="center"/>
              <w:rPr>
                <w:rFonts w:ascii="宋体" w:hAnsi="宋体" w:eastAsia="宋体" w:cs="宋体"/>
                <w:kern w:val="0"/>
                <w:sz w:val="24"/>
                <w:szCs w:val="24"/>
                <w:lang w:val="en-US" w:eastAsia="zh-CN" w:bidi="ar"/>
              </w:rPr>
            </w:pPr>
          </w:p>
          <w:p w14:paraId="02F6D585">
            <w:pPr>
              <w:keepNext w:val="0"/>
              <w:keepLines w:val="0"/>
              <w:widowControl/>
              <w:suppressLineNumbers w:val="0"/>
              <w:jc w:val="center"/>
              <w:rPr>
                <w:rFonts w:ascii="宋体" w:hAnsi="宋体" w:eastAsia="宋体" w:cs="宋体"/>
                <w:kern w:val="0"/>
                <w:sz w:val="24"/>
                <w:szCs w:val="24"/>
                <w:lang w:val="en-US" w:eastAsia="zh-CN" w:bidi="ar"/>
              </w:rPr>
            </w:pPr>
          </w:p>
          <w:p w14:paraId="6F2B679B">
            <w:pPr>
              <w:keepNext w:val="0"/>
              <w:keepLines w:val="0"/>
              <w:widowControl/>
              <w:suppressLineNumbers w:val="0"/>
              <w:jc w:val="center"/>
              <w:rPr>
                <w:rFonts w:ascii="宋体" w:hAnsi="宋体" w:eastAsia="宋体" w:cs="宋体"/>
                <w:kern w:val="0"/>
                <w:sz w:val="24"/>
                <w:szCs w:val="24"/>
                <w:lang w:val="en-US" w:eastAsia="zh-CN" w:bidi="ar"/>
              </w:rPr>
            </w:pPr>
          </w:p>
          <w:p w14:paraId="0D8AACDC">
            <w:pPr>
              <w:keepNext w:val="0"/>
              <w:keepLines w:val="0"/>
              <w:widowControl/>
              <w:suppressLineNumbers w:val="0"/>
              <w:jc w:val="center"/>
              <w:rPr>
                <w:rFonts w:ascii="宋体" w:hAnsi="宋体" w:eastAsia="宋体" w:cs="宋体"/>
                <w:kern w:val="0"/>
                <w:sz w:val="24"/>
                <w:szCs w:val="24"/>
                <w:lang w:val="en-US" w:eastAsia="zh-CN" w:bidi="ar"/>
              </w:rPr>
            </w:pPr>
          </w:p>
          <w:p w14:paraId="72923CEF">
            <w:pPr>
              <w:keepNext w:val="0"/>
              <w:keepLines w:val="0"/>
              <w:widowControl/>
              <w:suppressLineNumbers w:val="0"/>
              <w:jc w:val="center"/>
              <w:rPr>
                <w:rFonts w:ascii="宋体" w:hAnsi="宋体" w:eastAsia="宋体" w:cs="宋体"/>
                <w:kern w:val="0"/>
                <w:sz w:val="24"/>
                <w:szCs w:val="24"/>
                <w:lang w:val="en-US" w:eastAsia="zh-CN" w:bidi="ar"/>
              </w:rPr>
            </w:pPr>
          </w:p>
          <w:p w14:paraId="6FA662BA">
            <w:pPr>
              <w:keepNext w:val="0"/>
              <w:keepLines w:val="0"/>
              <w:widowControl/>
              <w:suppressLineNumbers w:val="0"/>
              <w:jc w:val="center"/>
              <w:rPr>
                <w:rFonts w:ascii="宋体" w:hAnsi="宋体" w:eastAsia="宋体" w:cs="宋体"/>
                <w:kern w:val="0"/>
                <w:sz w:val="24"/>
                <w:szCs w:val="24"/>
                <w:lang w:val="en-US" w:eastAsia="zh-CN" w:bidi="ar"/>
              </w:rPr>
            </w:pPr>
          </w:p>
          <w:p w14:paraId="7C0BED84">
            <w:pPr>
              <w:keepNext w:val="0"/>
              <w:keepLines w:val="0"/>
              <w:widowControl/>
              <w:suppressLineNumbers w:val="0"/>
              <w:jc w:val="center"/>
              <w:rPr>
                <w:rFonts w:ascii="宋体" w:hAnsi="宋体" w:eastAsia="宋体" w:cs="宋体"/>
                <w:kern w:val="0"/>
                <w:sz w:val="24"/>
                <w:szCs w:val="24"/>
                <w:lang w:val="en-US" w:eastAsia="zh-CN" w:bidi="ar"/>
              </w:rPr>
            </w:pPr>
          </w:p>
          <w:p w14:paraId="7285D1A0">
            <w:pPr>
              <w:keepNext w:val="0"/>
              <w:keepLines w:val="0"/>
              <w:widowControl/>
              <w:suppressLineNumbers w:val="0"/>
              <w:jc w:val="center"/>
              <w:rPr>
                <w:rFonts w:ascii="宋体" w:hAnsi="宋体" w:eastAsia="宋体" w:cs="宋体"/>
                <w:kern w:val="0"/>
                <w:sz w:val="24"/>
                <w:szCs w:val="24"/>
                <w:lang w:val="en-US" w:eastAsia="zh-CN" w:bidi="ar"/>
              </w:rPr>
            </w:pPr>
          </w:p>
          <w:p w14:paraId="23B6EB71">
            <w:pPr>
              <w:keepNext w:val="0"/>
              <w:keepLines w:val="0"/>
              <w:widowControl/>
              <w:suppressLineNumbers w:val="0"/>
              <w:jc w:val="center"/>
              <w:rPr>
                <w:rFonts w:ascii="宋体" w:hAnsi="宋体" w:eastAsia="宋体" w:cs="宋体"/>
                <w:kern w:val="0"/>
                <w:sz w:val="24"/>
                <w:szCs w:val="24"/>
                <w:lang w:val="en-US" w:eastAsia="zh-CN" w:bidi="ar"/>
              </w:rPr>
            </w:pPr>
          </w:p>
          <w:p w14:paraId="30C7A555">
            <w:pPr>
              <w:keepNext w:val="0"/>
              <w:keepLines w:val="0"/>
              <w:widowControl/>
              <w:suppressLineNumbers w:val="0"/>
              <w:jc w:val="center"/>
              <w:rPr>
                <w:rFonts w:ascii="宋体" w:hAnsi="宋体" w:eastAsia="宋体" w:cs="宋体"/>
                <w:kern w:val="0"/>
                <w:sz w:val="24"/>
                <w:szCs w:val="24"/>
                <w:lang w:val="en-US" w:eastAsia="zh-CN" w:bidi="ar"/>
              </w:rPr>
            </w:pPr>
          </w:p>
          <w:p w14:paraId="6C9EFAB3">
            <w:pPr>
              <w:keepNext w:val="0"/>
              <w:keepLines w:val="0"/>
              <w:widowControl/>
              <w:suppressLineNumbers w:val="0"/>
              <w:jc w:val="center"/>
              <w:rPr>
                <w:rFonts w:ascii="宋体" w:hAnsi="宋体" w:eastAsia="宋体" w:cs="宋体"/>
                <w:kern w:val="0"/>
                <w:sz w:val="24"/>
                <w:szCs w:val="24"/>
                <w:lang w:val="en-US" w:eastAsia="zh-CN" w:bidi="ar"/>
              </w:rPr>
            </w:pPr>
          </w:p>
          <w:p w14:paraId="7F5D79F2">
            <w:pPr>
              <w:keepNext w:val="0"/>
              <w:keepLines w:val="0"/>
              <w:widowControl/>
              <w:suppressLineNumbers w:val="0"/>
              <w:jc w:val="center"/>
              <w:rPr>
                <w:rFonts w:ascii="宋体" w:hAnsi="宋体" w:eastAsia="宋体" w:cs="宋体"/>
                <w:kern w:val="0"/>
                <w:sz w:val="24"/>
                <w:szCs w:val="24"/>
                <w:lang w:val="en-US" w:eastAsia="zh-CN" w:bidi="ar"/>
              </w:rPr>
            </w:pPr>
          </w:p>
          <w:p w14:paraId="18926947">
            <w:pPr>
              <w:keepNext w:val="0"/>
              <w:keepLines w:val="0"/>
              <w:widowControl/>
              <w:suppressLineNumbers w:val="0"/>
              <w:jc w:val="center"/>
              <w:rPr>
                <w:rFonts w:ascii="宋体" w:hAnsi="宋体" w:eastAsia="宋体" w:cs="宋体"/>
                <w:kern w:val="0"/>
                <w:sz w:val="24"/>
                <w:szCs w:val="24"/>
                <w:lang w:val="en-US" w:eastAsia="zh-CN" w:bidi="ar"/>
              </w:rPr>
            </w:pPr>
          </w:p>
          <w:p w14:paraId="60EA9D67">
            <w:pPr>
              <w:keepNext w:val="0"/>
              <w:keepLines w:val="0"/>
              <w:widowControl/>
              <w:suppressLineNumbers w:val="0"/>
              <w:jc w:val="center"/>
              <w:rPr>
                <w:rFonts w:ascii="宋体" w:hAnsi="宋体" w:eastAsia="宋体" w:cs="宋体"/>
                <w:kern w:val="0"/>
                <w:sz w:val="24"/>
                <w:szCs w:val="24"/>
                <w:lang w:val="en-US" w:eastAsia="zh-CN" w:bidi="ar"/>
              </w:rPr>
            </w:pPr>
          </w:p>
          <w:p w14:paraId="3D752730">
            <w:pPr>
              <w:keepNext w:val="0"/>
              <w:keepLines w:val="0"/>
              <w:widowControl/>
              <w:suppressLineNumbers w:val="0"/>
              <w:jc w:val="center"/>
              <w:rPr>
                <w:rFonts w:ascii="宋体" w:hAnsi="宋体" w:eastAsia="宋体" w:cs="宋体"/>
                <w:kern w:val="0"/>
                <w:sz w:val="24"/>
                <w:szCs w:val="24"/>
                <w:lang w:val="en-US" w:eastAsia="zh-CN" w:bidi="ar"/>
              </w:rPr>
            </w:pPr>
          </w:p>
          <w:p w14:paraId="33739408">
            <w:pPr>
              <w:keepNext w:val="0"/>
              <w:keepLines w:val="0"/>
              <w:widowControl/>
              <w:suppressLineNumbers w:val="0"/>
              <w:jc w:val="center"/>
              <w:rPr>
                <w:rFonts w:ascii="宋体" w:hAnsi="宋体" w:eastAsia="宋体" w:cs="宋体"/>
                <w:kern w:val="0"/>
                <w:sz w:val="24"/>
                <w:szCs w:val="24"/>
                <w:lang w:val="en-US" w:eastAsia="zh-CN" w:bidi="ar"/>
              </w:rPr>
            </w:pPr>
          </w:p>
          <w:p w14:paraId="36C76A06">
            <w:pPr>
              <w:keepNext w:val="0"/>
              <w:keepLines w:val="0"/>
              <w:widowControl/>
              <w:suppressLineNumbers w:val="0"/>
              <w:jc w:val="center"/>
              <w:rPr>
                <w:rFonts w:ascii="宋体" w:hAnsi="宋体" w:eastAsia="宋体" w:cs="宋体"/>
                <w:kern w:val="0"/>
                <w:sz w:val="24"/>
                <w:szCs w:val="24"/>
                <w:lang w:val="en-US" w:eastAsia="zh-CN" w:bidi="ar"/>
              </w:rPr>
            </w:pPr>
          </w:p>
          <w:p w14:paraId="0361C898">
            <w:pPr>
              <w:keepNext w:val="0"/>
              <w:keepLines w:val="0"/>
              <w:widowControl/>
              <w:suppressLineNumbers w:val="0"/>
              <w:jc w:val="center"/>
              <w:rPr>
                <w:rFonts w:ascii="宋体" w:hAnsi="宋体" w:eastAsia="宋体" w:cs="宋体"/>
                <w:kern w:val="0"/>
                <w:sz w:val="24"/>
                <w:szCs w:val="24"/>
                <w:lang w:val="en-US" w:eastAsia="zh-CN" w:bidi="ar"/>
              </w:rPr>
            </w:pPr>
          </w:p>
          <w:p w14:paraId="3DF85CD5">
            <w:pPr>
              <w:keepNext w:val="0"/>
              <w:keepLines w:val="0"/>
              <w:widowControl/>
              <w:suppressLineNumbers w:val="0"/>
              <w:jc w:val="center"/>
              <w:rPr>
                <w:rFonts w:ascii="宋体" w:hAnsi="宋体" w:eastAsia="宋体" w:cs="宋体"/>
                <w:kern w:val="0"/>
                <w:sz w:val="24"/>
                <w:szCs w:val="24"/>
                <w:lang w:val="en-US" w:eastAsia="zh-CN" w:bidi="ar"/>
              </w:rPr>
            </w:pPr>
          </w:p>
          <w:p w14:paraId="51653FBC">
            <w:pPr>
              <w:keepNext w:val="0"/>
              <w:keepLines w:val="0"/>
              <w:widowControl/>
              <w:suppressLineNumbers w:val="0"/>
              <w:jc w:val="center"/>
              <w:rPr>
                <w:rFonts w:ascii="宋体" w:hAnsi="宋体" w:eastAsia="宋体" w:cs="宋体"/>
                <w:kern w:val="0"/>
                <w:sz w:val="24"/>
                <w:szCs w:val="24"/>
                <w:lang w:val="en-US" w:eastAsia="zh-CN" w:bidi="ar"/>
              </w:rPr>
            </w:pPr>
          </w:p>
          <w:p w14:paraId="46552F11">
            <w:pPr>
              <w:keepNext w:val="0"/>
              <w:keepLines w:val="0"/>
              <w:widowControl/>
              <w:suppressLineNumbers w:val="0"/>
              <w:jc w:val="center"/>
              <w:rPr>
                <w:rFonts w:ascii="宋体" w:hAnsi="宋体" w:eastAsia="宋体" w:cs="宋体"/>
                <w:kern w:val="0"/>
                <w:sz w:val="24"/>
                <w:szCs w:val="24"/>
                <w:lang w:val="en-US" w:eastAsia="zh-CN" w:bidi="ar"/>
              </w:rPr>
            </w:pPr>
          </w:p>
          <w:p w14:paraId="7BC75BA3">
            <w:pPr>
              <w:keepNext w:val="0"/>
              <w:keepLines w:val="0"/>
              <w:widowControl/>
              <w:suppressLineNumbers w:val="0"/>
              <w:jc w:val="center"/>
            </w:pPr>
            <w:r>
              <w:rPr>
                <w:rFonts w:ascii="宋体" w:hAnsi="宋体" w:eastAsia="宋体" w:cs="宋体"/>
                <w:kern w:val="0"/>
                <w:sz w:val="24"/>
                <w:szCs w:val="24"/>
                <w:lang w:val="en-US" w:eastAsia="zh-CN" w:bidi="ar"/>
              </w:rPr>
              <w:t>林业生产服务设施用地</w:t>
            </w:r>
          </w:p>
          <w:p w14:paraId="076F4894">
            <w:pPr>
              <w:jc w:val="center"/>
              <w:rPr>
                <w:rFonts w:hint="default"/>
                <w:vertAlign w:val="baseline"/>
                <w:lang w:val="en-US" w:eastAsia="zh-CN"/>
              </w:rPr>
            </w:pPr>
          </w:p>
        </w:tc>
        <w:tc>
          <w:tcPr>
            <w:tcW w:w="3329" w:type="dxa"/>
            <w:vAlign w:val="center"/>
          </w:tcPr>
          <w:p w14:paraId="72D80721">
            <w:pPr>
              <w:keepNext w:val="0"/>
              <w:keepLines w:val="0"/>
              <w:widowControl/>
              <w:suppressLineNumbers w:val="0"/>
              <w:jc w:val="center"/>
            </w:pPr>
            <w:r>
              <w:rPr>
                <w:rFonts w:ascii="宋体" w:hAnsi="宋体" w:eastAsia="宋体" w:cs="宋体"/>
                <w:kern w:val="0"/>
                <w:sz w:val="24"/>
                <w:szCs w:val="24"/>
                <w:lang w:val="en-US" w:eastAsia="zh-CN" w:bidi="ar"/>
              </w:rPr>
              <w:t>作物种植设施用地</w:t>
            </w:r>
          </w:p>
          <w:p w14:paraId="2FB90DD7">
            <w:pPr>
              <w:jc w:val="center"/>
              <w:rPr>
                <w:rFonts w:hint="default"/>
                <w:vertAlign w:val="baseline"/>
                <w:lang w:val="en-US" w:eastAsia="zh-CN"/>
              </w:rPr>
            </w:pPr>
          </w:p>
        </w:tc>
        <w:tc>
          <w:tcPr>
            <w:tcW w:w="2841" w:type="dxa"/>
            <w:vAlign w:val="center"/>
          </w:tcPr>
          <w:p w14:paraId="0C095476">
            <w:pPr>
              <w:keepNext w:val="0"/>
              <w:keepLines w:val="0"/>
              <w:widowControl/>
              <w:suppressLineNumbers w:val="0"/>
              <w:jc w:val="both"/>
              <w:rPr>
                <w:rFonts w:hint="default"/>
                <w:vertAlign w:val="baseline"/>
                <w:lang w:val="en-US" w:eastAsia="zh-CN"/>
              </w:rPr>
            </w:pPr>
            <w:r>
              <w:rPr>
                <w:rFonts w:ascii="宋体" w:hAnsi="宋体" w:eastAsia="宋体" w:cs="宋体"/>
                <w:kern w:val="0"/>
                <w:sz w:val="24"/>
                <w:szCs w:val="24"/>
                <w:lang w:val="en-US" w:eastAsia="zh-CN" w:bidi="ar"/>
              </w:rPr>
              <w:t>1.粮食、蔬菜、水果、花卉、食用菌、中草药等作物生产前端为生产服务的农资农机具存放场所、保鲜存储、油料库、维修间、蓄水池、泵房、配电房、道路、管理用房、消毒设备和环境控制等设施用地；2.生产过程中的大棚（管棚）、温室、棚内通道、场地、检验检疫、育秧育苗场所（含组培室）、先进技术应用和智能化管理等设施用地；3.农作物种子、生产后端与生产农产品直接关联的产品晾晒烘干、分拣包装、初加工、保鲜存储、货物装卸场地和废弃物处理、工厂化种植（养殖）等设施用地。</w:t>
            </w:r>
          </w:p>
        </w:tc>
      </w:tr>
      <w:tr w14:paraId="5344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52" w:type="dxa"/>
            <w:vMerge w:val="continue"/>
            <w:tcBorders/>
            <w:vAlign w:val="center"/>
          </w:tcPr>
          <w:p w14:paraId="62F7BB8D">
            <w:pPr>
              <w:jc w:val="center"/>
              <w:rPr>
                <w:rFonts w:hint="default"/>
                <w:vertAlign w:val="baseline"/>
                <w:lang w:val="en-US" w:eastAsia="zh-CN"/>
              </w:rPr>
            </w:pPr>
          </w:p>
        </w:tc>
        <w:tc>
          <w:tcPr>
            <w:tcW w:w="3329" w:type="dxa"/>
            <w:vAlign w:val="center"/>
          </w:tcPr>
          <w:p w14:paraId="7C41CF3E">
            <w:pPr>
              <w:keepNext w:val="0"/>
              <w:keepLines w:val="0"/>
              <w:widowControl/>
              <w:suppressLineNumbers w:val="0"/>
              <w:jc w:val="center"/>
            </w:pPr>
            <w:r>
              <w:rPr>
                <w:rFonts w:ascii="宋体" w:hAnsi="宋体" w:eastAsia="宋体" w:cs="宋体"/>
                <w:kern w:val="0"/>
                <w:sz w:val="24"/>
                <w:szCs w:val="24"/>
                <w:lang w:val="en-US" w:eastAsia="zh-CN" w:bidi="ar"/>
              </w:rPr>
              <w:t>畜禽养殖设施用地</w:t>
            </w:r>
          </w:p>
          <w:p w14:paraId="56672F1F">
            <w:pPr>
              <w:jc w:val="center"/>
              <w:rPr>
                <w:rFonts w:hint="default"/>
                <w:vertAlign w:val="baseline"/>
                <w:lang w:val="en-US" w:eastAsia="zh-CN"/>
              </w:rPr>
            </w:pPr>
          </w:p>
        </w:tc>
        <w:tc>
          <w:tcPr>
            <w:tcW w:w="2841" w:type="dxa"/>
            <w:vAlign w:val="center"/>
          </w:tcPr>
          <w:p w14:paraId="5D1D09C6">
            <w:pPr>
              <w:keepNext w:val="0"/>
              <w:keepLines w:val="0"/>
              <w:widowControl/>
              <w:suppressLineNumbers w:val="0"/>
              <w:jc w:val="both"/>
              <w:rPr>
                <w:rFonts w:hint="default"/>
                <w:vertAlign w:val="baseline"/>
                <w:lang w:val="en-US" w:eastAsia="zh-CN"/>
              </w:rPr>
            </w:pPr>
            <w:r>
              <w:rPr>
                <w:rFonts w:ascii="宋体" w:hAnsi="宋体" w:eastAsia="宋体" w:cs="宋体"/>
                <w:kern w:val="0"/>
                <w:sz w:val="24"/>
                <w:szCs w:val="24"/>
                <w:lang w:val="en-US" w:eastAsia="zh-CN" w:bidi="ar"/>
              </w:rPr>
              <w:t>畜禽养殖生产及直接关联的多层立体养殖设施、棚舍、库房、道路、场地、青贮、废弃物处置、无害化处理、水电设施、检验检疫、清洗消毒、管理用房和隔离带等设施用地。</w:t>
            </w:r>
          </w:p>
        </w:tc>
      </w:tr>
      <w:tr w14:paraId="63EE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52" w:type="dxa"/>
            <w:vMerge w:val="continue"/>
            <w:tcBorders/>
            <w:vAlign w:val="center"/>
          </w:tcPr>
          <w:p w14:paraId="061A395D">
            <w:pPr>
              <w:jc w:val="center"/>
              <w:rPr>
                <w:rFonts w:hint="default"/>
                <w:vertAlign w:val="baseline"/>
                <w:lang w:val="en-US" w:eastAsia="zh-CN"/>
              </w:rPr>
            </w:pPr>
          </w:p>
        </w:tc>
        <w:tc>
          <w:tcPr>
            <w:tcW w:w="3329" w:type="dxa"/>
            <w:vAlign w:val="center"/>
          </w:tcPr>
          <w:p w14:paraId="58A47BE1">
            <w:pPr>
              <w:keepNext w:val="0"/>
              <w:keepLines w:val="0"/>
              <w:widowControl/>
              <w:suppressLineNumbers w:val="0"/>
              <w:jc w:val="center"/>
              <w:rPr>
                <w:rFonts w:hint="default"/>
                <w:vertAlign w:val="baseline"/>
                <w:lang w:val="en-US" w:eastAsia="zh-CN"/>
              </w:rPr>
            </w:pPr>
            <w:r>
              <w:rPr>
                <w:rFonts w:hint="eastAsia" w:ascii="宋体" w:hAnsi="宋体" w:eastAsia="宋体" w:cs="宋体"/>
                <w:kern w:val="0"/>
                <w:sz w:val="24"/>
                <w:szCs w:val="24"/>
                <w:lang w:val="en-US" w:eastAsia="zh-CN" w:bidi="ar"/>
              </w:rPr>
              <w:t>水产养殖设施用地</w:t>
            </w:r>
          </w:p>
        </w:tc>
        <w:tc>
          <w:tcPr>
            <w:tcW w:w="2841" w:type="dxa"/>
            <w:vAlign w:val="center"/>
          </w:tcPr>
          <w:p w14:paraId="776763AA">
            <w:pPr>
              <w:keepNext w:val="0"/>
              <w:keepLines w:val="0"/>
              <w:widowControl/>
              <w:suppressLineNumbers w:val="0"/>
              <w:jc w:val="both"/>
              <w:rPr>
                <w:rFonts w:hint="default"/>
                <w:vertAlign w:val="baseline"/>
                <w:lang w:val="en-US" w:eastAsia="zh-CN"/>
              </w:rPr>
            </w:pPr>
            <w:r>
              <w:rPr>
                <w:rFonts w:ascii="宋体" w:hAnsi="宋体" w:eastAsia="宋体" w:cs="宋体"/>
                <w:kern w:val="0"/>
                <w:sz w:val="24"/>
                <w:szCs w:val="24"/>
                <w:lang w:val="en-US" w:eastAsia="zh-CN" w:bidi="ar"/>
              </w:rPr>
              <w:t>水产养殖生产及直接关联的规模化养殖池、工厂化养殖池（车间）、进排水系统、库房、管理用房、道路、场地、尾水处理系统、隔离带、检验检疫监测、动物疫病防控等设施用地。</w:t>
            </w:r>
          </w:p>
        </w:tc>
      </w:tr>
      <w:tr w14:paraId="4B8F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52" w:type="dxa"/>
            <w:vMerge w:val="continue"/>
            <w:tcBorders/>
            <w:vAlign w:val="center"/>
          </w:tcPr>
          <w:p w14:paraId="35020E53">
            <w:pPr>
              <w:jc w:val="center"/>
              <w:rPr>
                <w:rFonts w:hint="default"/>
                <w:vertAlign w:val="baseline"/>
                <w:lang w:val="en-US" w:eastAsia="zh-CN"/>
              </w:rPr>
            </w:pPr>
          </w:p>
        </w:tc>
        <w:tc>
          <w:tcPr>
            <w:tcW w:w="6170" w:type="dxa"/>
            <w:gridSpan w:val="2"/>
            <w:vAlign w:val="center"/>
          </w:tcPr>
          <w:p w14:paraId="07D81B73">
            <w:pPr>
              <w:keepNext w:val="0"/>
              <w:keepLines w:val="0"/>
              <w:widowControl/>
              <w:suppressLineNumbers w:val="0"/>
              <w:jc w:val="both"/>
              <w:rPr>
                <w:rFonts w:hint="eastAsia" w:ascii="宋体" w:hAnsi="宋体" w:eastAsia="宋体" w:cs="宋体"/>
                <w:vertAlign w:val="baseline"/>
                <w:lang w:val="en-US" w:eastAsia="zh-CN"/>
              </w:rPr>
            </w:pPr>
            <w:r>
              <w:rPr>
                <w:rFonts w:hint="eastAsia" w:ascii="宋体" w:hAnsi="宋体" w:eastAsia="宋体" w:cs="宋体"/>
                <w:kern w:val="0"/>
                <w:sz w:val="24"/>
                <w:szCs w:val="24"/>
                <w:lang w:val="en-US" w:eastAsia="zh-CN" w:bidi="ar"/>
              </w:rPr>
              <w:t>修筑符合国家规定标准的直接为林业生产经营服务的工程设施，包括：1.培育、生产种子、苗木的设施；贮存种子、苗木、木材的设施；2.集材道、运材道、防火巡护道、森林步道；3.林业科研、科普教育设施；4.野生动植物保护、护林、林业有害生物防治、森林防火、木材检疫的设施；5.供水、供电、供热、供气、通讯基础设施；6.直接用于林业管理养护的道班房、管理用房、物资储备库、微型消防站、泵房、枝条粉碎场和配套场地等林业配套设施用地；7.其他直接为林业生产服务的工程设施。</w:t>
            </w:r>
          </w:p>
        </w:tc>
      </w:tr>
      <w:tr w14:paraId="0701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52" w:type="dxa"/>
            <w:vMerge w:val="continue"/>
            <w:tcBorders/>
            <w:vAlign w:val="center"/>
          </w:tcPr>
          <w:p w14:paraId="4D6AB9BD">
            <w:pPr>
              <w:jc w:val="center"/>
              <w:rPr>
                <w:rFonts w:hint="default"/>
                <w:vertAlign w:val="baseline"/>
                <w:lang w:val="en-US" w:eastAsia="zh-CN"/>
              </w:rPr>
            </w:pPr>
          </w:p>
        </w:tc>
        <w:tc>
          <w:tcPr>
            <w:tcW w:w="6170" w:type="dxa"/>
            <w:gridSpan w:val="2"/>
            <w:vAlign w:val="center"/>
          </w:tcPr>
          <w:p w14:paraId="08B829A3">
            <w:pPr>
              <w:keepNext w:val="0"/>
              <w:keepLines w:val="0"/>
              <w:widowControl/>
              <w:suppressLineNumbers w:val="0"/>
              <w:jc w:val="both"/>
              <w:rPr>
                <w:rFonts w:hint="eastAsia" w:ascii="宋体" w:hAnsi="宋体" w:eastAsia="宋体" w:cs="宋体"/>
                <w:vertAlign w:val="baseline"/>
                <w:lang w:val="en-US" w:eastAsia="zh-CN"/>
              </w:rPr>
            </w:pPr>
            <w:r>
              <w:rPr>
                <w:rFonts w:hint="eastAsia" w:ascii="宋体" w:hAnsi="宋体" w:eastAsia="宋体" w:cs="宋体"/>
                <w:kern w:val="0"/>
                <w:sz w:val="24"/>
                <w:szCs w:val="24"/>
                <w:lang w:val="en-US" w:eastAsia="zh-CN" w:bidi="ar"/>
              </w:rPr>
              <w:t>依法依规利用林地发展林下经济的，在不采伐林木、不影响树木生长、不造成污染的前提下，放置移动类设施、利用林间空地建设必要的生产管护设施、生产资料库房和采集产品临时储藏室。</w:t>
            </w:r>
          </w:p>
        </w:tc>
      </w:tr>
      <w:tr w14:paraId="5513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52" w:type="dxa"/>
            <w:vAlign w:val="center"/>
          </w:tcPr>
          <w:p w14:paraId="111E23A7">
            <w:pPr>
              <w:keepNext w:val="0"/>
              <w:keepLines w:val="0"/>
              <w:widowControl/>
              <w:suppressLineNumbers w:val="0"/>
              <w:jc w:val="center"/>
            </w:pPr>
            <w:r>
              <w:rPr>
                <w:rFonts w:ascii="宋体" w:hAnsi="宋体" w:eastAsia="宋体" w:cs="宋体"/>
                <w:kern w:val="0"/>
                <w:sz w:val="24"/>
                <w:szCs w:val="24"/>
                <w:lang w:val="en-US" w:eastAsia="zh-CN" w:bidi="ar"/>
              </w:rPr>
              <w:t>零星设施用地</w:t>
            </w:r>
          </w:p>
          <w:p w14:paraId="22545335">
            <w:pPr>
              <w:jc w:val="center"/>
              <w:rPr>
                <w:rFonts w:hint="default"/>
                <w:vertAlign w:val="baseline"/>
                <w:lang w:val="en-US" w:eastAsia="zh-CN"/>
              </w:rPr>
            </w:pPr>
          </w:p>
        </w:tc>
        <w:tc>
          <w:tcPr>
            <w:tcW w:w="6170" w:type="dxa"/>
            <w:gridSpan w:val="2"/>
            <w:vAlign w:val="center"/>
          </w:tcPr>
          <w:p w14:paraId="37B147B9">
            <w:pPr>
              <w:pStyle w:val="2"/>
              <w:keepNext w:val="0"/>
              <w:keepLines w:val="0"/>
              <w:widowControl/>
              <w:suppressLineNumbers w:val="0"/>
              <w:spacing w:before="120" w:beforeAutospacing="0" w:after="120" w:afterAutospacing="0" w:line="336" w:lineRule="atLeast"/>
              <w:ind w:left="0" w:right="0" w:firstLine="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按照我省相关政策规定的以下项目可以采取“不征不转”“只征不转”方式使用土地：</w:t>
            </w:r>
          </w:p>
          <w:p w14:paraId="259476C5">
            <w:pPr>
              <w:keepNext w:val="0"/>
              <w:keepLines w:val="0"/>
              <w:widowControl/>
              <w:suppressLineNumbers w:val="0"/>
              <w:jc w:val="both"/>
              <w:rPr>
                <w:rFonts w:hint="eastAsia" w:ascii="宋体" w:hAnsi="宋体" w:eastAsia="宋体" w:cs="宋体"/>
                <w:vertAlign w:val="baseline"/>
                <w:lang w:val="en-US" w:eastAsia="zh-CN"/>
              </w:rPr>
            </w:pPr>
            <w:r>
              <w:rPr>
                <w:rFonts w:hint="eastAsia" w:ascii="宋体" w:hAnsi="宋体" w:eastAsia="宋体" w:cs="宋体"/>
                <w:kern w:val="0"/>
                <w:sz w:val="24"/>
                <w:szCs w:val="24"/>
                <w:lang w:val="en-US" w:eastAsia="zh-CN" w:bidi="ar"/>
              </w:rPr>
              <w:t>1.休闲农业和乡村旅游项目中的观光台（占地面积不超过100平方米），栈道（宽度不超过2米）等非永久性附属设施用地；2.以人工湿地等生态环保方式进行污水处理的设施用地；3.生活垃圾收集、统一布局的生态环境监测、通信、标识系统、电子监控、电力塔基、铁塔、农村生活污水治理、供水、排水、抽水泵站、水库防汛应急管理附属建筑物、防灾减灾瞭望塔台等零星公共服务设施用地（占地面积不超过200平方米）；4.路面宽度不超过8米的农村道路（含乡村旅游公路），沟渠（指人工修建，宽度大于1米用于引、排、灌的渠道，包括地面和架空的渠槽、渠堤、附属护路林及小型泵站），山洪沟防护，以及不破坏耕地、林地的地埋式供/污水厂、取/排水管线等。5.南繁育种基地的按照《关于做好南繁科研育种基地耕地保护和配套设施用地保障的指导意见》（自然资函〔2024〕1009号）执行。6.符合大规模设备更新和消费品以旧换新条件的项目，按照《海南省自然资源和规划厅关于印发&lt;强化自然资源要素保障 支持大规模设备更新和消费品以旧换新若干措施&gt;的通知》（琼自然资管〔2024〕92号）执行。</w:t>
            </w:r>
          </w:p>
        </w:tc>
      </w:tr>
    </w:tbl>
    <w:p w14:paraId="65A7823F">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3D0E56E3-640E-4EE1-A2FA-57E4FAE9D10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NzlkMjg4OGZlNWFmNTBjYjBjNTQyZjViMjZiMDAifQ=="/>
  </w:docVars>
  <w:rsids>
    <w:rsidRoot w:val="1CCA767C"/>
    <w:rsid w:val="1CCA767C"/>
    <w:rsid w:val="6EF15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2024-10-17T02:23:00Z</dcterms:created>
  <dc:creator>尤他</dc:creator>
  <cp:lastModifiedBy>尤他</cp:lastModifiedBy>
  <dcterms:modified xsi:type="dcterms:W3CDTF">2024-10-17T03:27:58Z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550BC65985524D9C8AD0D2D432245117_11</vt:lpwstr>
  </property>
</Properties>
</file>